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简标宋" w:eastAsia="微软简标宋"/>
          <w:sz w:val="36"/>
          <w:szCs w:val="36"/>
        </w:rPr>
      </w:pPr>
      <w:r>
        <w:rPr>
          <w:rFonts w:hint="eastAsia" w:ascii="微软简标宋" w:eastAsia="微软简标宋"/>
          <w:sz w:val="36"/>
          <w:szCs w:val="36"/>
        </w:rPr>
        <w:t>各一级预算单位</w:t>
      </w:r>
      <w:r>
        <w:rPr>
          <w:rFonts w:hint="eastAsia" w:ascii="微软简标宋" w:eastAsia="微软简标宋"/>
          <w:sz w:val="36"/>
          <w:szCs w:val="36"/>
          <w:lang w:eastAsia="zh-CN"/>
        </w:rPr>
        <w:t>注意事项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 w:hAnsiTheme="minorHAnsi" w:cstheme="minorBidi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 w:hAnsiTheme="minorHAnsi" w:cstheme="minorBidi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b w:val="0"/>
          <w:bCs w:val="0"/>
          <w:kern w:val="2"/>
          <w:sz w:val="32"/>
          <w:szCs w:val="32"/>
          <w:lang w:val="en-US" w:eastAsia="zh-CN" w:bidi="ar-SA"/>
        </w:rPr>
        <w:t>各一级预算单位负责下属二级单位2017年度部门决算填报、初审工作。</w:t>
      </w:r>
    </w:p>
    <w:p>
      <w:pPr>
        <w:pStyle w:val="8"/>
        <w:numPr>
          <w:ilvl w:val="0"/>
          <w:numId w:val="1"/>
        </w:numPr>
        <w:ind w:firstLine="964" w:firstLineChars="300"/>
        <w:rPr>
          <w:rFonts w:hint="eastAsia" w:ascii="仿宋_GB2312" w:eastAsia="仿宋_GB2312"/>
          <w:b/>
          <w:bCs/>
          <w:sz w:val="32"/>
          <w:szCs w:val="32"/>
          <w:lang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t>准备工作</w:t>
      </w:r>
    </w:p>
    <w:p>
      <w:pPr>
        <w:pStyle w:val="8"/>
        <w:numPr>
          <w:ilvl w:val="0"/>
          <w:numId w:val="2"/>
        </w:numPr>
        <w:ind w:leftChars="0" w:firstLine="640" w:firstLineChars="200"/>
        <w:rPr>
          <w:rFonts w:hint="eastAsia" w:ascii="仿宋_GB2312" w:eastAsia="仿宋_GB2312"/>
          <w:b w:val="0"/>
          <w:bCs w:val="0"/>
          <w:sz w:val="32"/>
          <w:szCs w:val="32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lang w:eastAsia="zh-CN"/>
        </w:rPr>
        <w:t>与财政部门对账无误的基础材料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1份。</w:t>
      </w:r>
      <w:r>
        <w:rPr>
          <w:rFonts w:hint="eastAsia" w:ascii="仿宋_GB2312" w:eastAsia="仿宋_GB2312"/>
          <w:b w:val="0"/>
          <w:bCs w:val="0"/>
          <w:sz w:val="32"/>
          <w:szCs w:val="32"/>
        </w:rPr>
        <w:t>单位本年度从本级财政部门取得的一般公共预算财政拨款</w:t>
      </w:r>
      <w:r>
        <w:rPr>
          <w:rFonts w:hint="eastAsia" w:ascii="仿宋_GB2312" w:eastAsia="仿宋_GB2312"/>
          <w:b w:val="0"/>
          <w:bCs w:val="0"/>
          <w:sz w:val="32"/>
          <w:szCs w:val="32"/>
          <w:lang w:eastAsia="zh-CN"/>
        </w:rPr>
        <w:t>和政府性基金预算财政拨款必须</w:t>
      </w:r>
      <w:r>
        <w:rPr>
          <w:rFonts w:hint="eastAsia" w:ascii="仿宋_GB2312" w:eastAsia="仿宋_GB2312"/>
          <w:b w:val="0"/>
          <w:bCs w:val="0"/>
          <w:sz w:val="32"/>
          <w:szCs w:val="32"/>
        </w:rPr>
        <w:t>与</w:t>
      </w:r>
      <w:r>
        <w:rPr>
          <w:rFonts w:hint="eastAsia" w:ascii="仿宋_GB2312" w:eastAsia="仿宋_GB2312"/>
          <w:b w:val="0"/>
          <w:bCs w:val="0"/>
          <w:sz w:val="32"/>
          <w:szCs w:val="32"/>
          <w:lang w:eastAsia="zh-CN"/>
        </w:rPr>
        <w:t>财政部门</w:t>
      </w:r>
      <w:r>
        <w:rPr>
          <w:rFonts w:hint="eastAsia" w:ascii="仿宋_GB2312" w:eastAsia="仿宋_GB2312"/>
          <w:b w:val="0"/>
          <w:bCs w:val="0"/>
          <w:sz w:val="32"/>
          <w:szCs w:val="32"/>
        </w:rPr>
        <w:t>对账一致</w:t>
      </w:r>
      <w:r>
        <w:rPr>
          <w:rFonts w:hint="eastAsia" w:ascii="仿宋_GB2312" w:eastAsia="仿宋_GB2312"/>
          <w:b w:val="0"/>
          <w:bCs w:val="0"/>
          <w:sz w:val="32"/>
          <w:szCs w:val="32"/>
          <w:lang w:eastAsia="zh-CN"/>
        </w:rPr>
        <w:t>。必须与财政局业务处室、国库集中支付中心逐项收支余对账一致。</w:t>
      </w:r>
    </w:p>
    <w:p>
      <w:pPr>
        <w:pStyle w:val="8"/>
        <w:numPr>
          <w:ilvl w:val="0"/>
          <w:numId w:val="2"/>
        </w:numPr>
        <w:ind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2017年度区财政局批复的预算文件复印件1份、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2017年度调整预算后全年预算核对表复印件1份、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2017年度区财政局印发的结余结转文件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复印件1份、本单位负责“三公”经费和政府采购部门出具的书面情况1份是否齐备。预算文件可以咨询区财政局预算处和预算编审中心，结余结转文件可以咨询区财政局国库处。</w:t>
      </w:r>
    </w:p>
    <w:p>
      <w:pPr>
        <w:pStyle w:val="8"/>
        <w:numPr>
          <w:ilvl w:val="0"/>
          <w:numId w:val="2"/>
        </w:numPr>
        <w:ind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2016年度部门决算软件及参数、2016年度部门决算财政部最终会审数据、2017年度部门决算软件及参数、2017年度部门决算软件操作手册是否齐备。2017年度部门决算软件关联任务及对应数据库是否关联正确路径无误。</w:t>
      </w:r>
    </w:p>
    <w:p>
      <w:pPr>
        <w:pStyle w:val="8"/>
        <w:numPr>
          <w:ilvl w:val="0"/>
          <w:numId w:val="2"/>
        </w:numPr>
        <w:ind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组织机构代码证或社会机构代码证复印件1份</w:t>
      </w:r>
      <w:r>
        <w:rPr>
          <w:rFonts w:hint="eastAsia" w:ascii="仿宋_GB2312" w:eastAsia="仿宋_GB2312"/>
          <w:sz w:val="32"/>
          <w:szCs w:val="32"/>
          <w:lang w:eastAsia="zh-CN"/>
        </w:rPr>
        <w:t>。填报封面内容必须与</w:t>
      </w:r>
      <w:r>
        <w:rPr>
          <w:rFonts w:hint="eastAsia" w:ascii="仿宋_GB2312" w:eastAsia="仿宋_GB2312"/>
          <w:sz w:val="32"/>
          <w:szCs w:val="32"/>
        </w:rPr>
        <w:t>组织机构代码证或社会机构代码证</w:t>
      </w:r>
      <w:r>
        <w:rPr>
          <w:rFonts w:hint="eastAsia" w:ascii="仿宋_GB2312" w:eastAsia="仿宋_GB2312"/>
          <w:sz w:val="32"/>
          <w:szCs w:val="32"/>
          <w:lang w:eastAsia="zh-CN"/>
        </w:rPr>
        <w:t>一致。</w:t>
      </w:r>
    </w:p>
    <w:p>
      <w:pPr>
        <w:pStyle w:val="8"/>
        <w:numPr>
          <w:ilvl w:val="0"/>
          <w:numId w:val="2"/>
        </w:numPr>
        <w:ind w:leftChars="0" w:firstLine="640" w:firstLineChars="200"/>
        <w:rPr>
          <w:rFonts w:hint="eastAsia" w:ascii="仿宋_GB2312" w:hAnsi="Times New Roman" w:eastAsia="仿宋_GB2312" w:cs="Times New Roman"/>
          <w:color w:val="00000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区编办最新批复的编制文件复印件1份</w:t>
      </w:r>
      <w:r>
        <w:rPr>
          <w:rFonts w:hint="eastAsia" w:ascii="仿宋_GB2312" w:eastAsia="仿宋_GB2312"/>
          <w:sz w:val="32"/>
          <w:szCs w:val="32"/>
          <w:lang w:eastAsia="zh-CN"/>
        </w:rPr>
        <w:t>。单位性质、编制数必须与</w:t>
      </w:r>
      <w:r>
        <w:rPr>
          <w:rFonts w:hint="eastAsia" w:ascii="仿宋_GB2312" w:eastAsia="仿宋_GB2312"/>
          <w:sz w:val="32"/>
          <w:szCs w:val="32"/>
        </w:rPr>
        <w:t>区编办最新批复的编制文件</w:t>
      </w:r>
      <w:r>
        <w:rPr>
          <w:rFonts w:hint="eastAsia" w:ascii="仿宋_GB2312" w:eastAsia="仿宋_GB2312"/>
          <w:sz w:val="32"/>
          <w:szCs w:val="32"/>
          <w:lang w:eastAsia="zh-CN"/>
        </w:rPr>
        <w:t>内容一致。同时，需要本单位人事部门出具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1份2017年末本单位人事信息情况。</w:t>
      </w:r>
    </w:p>
    <w:p>
      <w:pPr>
        <w:pStyle w:val="8"/>
        <w:numPr>
          <w:ilvl w:val="0"/>
          <w:numId w:val="2"/>
        </w:numPr>
        <w:ind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" w:eastAsia="仿宋_GB2312" w:cs="仿宋"/>
          <w:color w:val="000000"/>
          <w:sz w:val="32"/>
          <w:szCs w:val="32"/>
          <w:lang w:eastAsia="zh-CN"/>
        </w:rPr>
        <w:t>各报表中“</w:t>
      </w:r>
      <w:r>
        <w:rPr>
          <w:rFonts w:hint="eastAsia" w:ascii="仿宋_GB2312" w:hAnsi="仿宋" w:eastAsia="仿宋_GB2312" w:cs="仿宋"/>
          <w:color w:val="000000"/>
          <w:sz w:val="32"/>
          <w:szCs w:val="32"/>
        </w:rPr>
        <w:t>结转和结余资金</w:t>
      </w:r>
      <w:r>
        <w:rPr>
          <w:rFonts w:hint="eastAsia" w:ascii="仿宋_GB2312" w:hAnsi="仿宋" w:eastAsia="仿宋_GB2312" w:cs="仿宋"/>
          <w:color w:val="000000"/>
          <w:sz w:val="32"/>
          <w:szCs w:val="32"/>
          <w:lang w:eastAsia="zh-CN"/>
        </w:rPr>
        <w:t>”</w:t>
      </w:r>
      <w:r>
        <w:rPr>
          <w:rFonts w:hint="eastAsia" w:ascii="仿宋_GB2312" w:hAnsi="仿宋" w:eastAsia="仿宋_GB2312" w:cs="仿宋"/>
          <w:color w:val="000000"/>
          <w:sz w:val="32"/>
          <w:szCs w:val="32"/>
        </w:rPr>
        <w:t>本年年初数</w:t>
      </w:r>
      <w:r>
        <w:rPr>
          <w:rFonts w:hint="eastAsia" w:ascii="仿宋_GB2312" w:hAnsi="仿宋" w:eastAsia="仿宋_GB2312" w:cs="仿宋"/>
          <w:color w:val="000000"/>
          <w:sz w:val="32"/>
          <w:szCs w:val="32"/>
          <w:lang w:eastAsia="zh-CN"/>
        </w:rPr>
        <w:t>是否</w:t>
      </w:r>
      <w:r>
        <w:rPr>
          <w:rFonts w:hint="eastAsia" w:ascii="仿宋_GB2312" w:hAnsi="仿宋" w:eastAsia="仿宋_GB2312" w:cs="仿宋"/>
          <w:color w:val="000000"/>
          <w:sz w:val="32"/>
          <w:szCs w:val="32"/>
        </w:rPr>
        <w:t>与上年年末数一致，</w:t>
      </w:r>
      <w:r>
        <w:rPr>
          <w:rFonts w:hint="eastAsia" w:ascii="仿宋_GB2312" w:hAnsi="仿宋" w:eastAsia="仿宋_GB2312" w:cs="仿宋"/>
          <w:color w:val="000000"/>
          <w:sz w:val="32"/>
          <w:szCs w:val="32"/>
          <w:lang w:eastAsia="zh-CN"/>
        </w:rPr>
        <w:t>变化原因：</w:t>
      </w:r>
      <w:r>
        <w:rPr>
          <w:rFonts w:hint="eastAsia" w:ascii="仿宋_GB2312" w:hAnsi="仿宋" w:eastAsia="仿宋_GB2312" w:cs="仿宋"/>
          <w:bCs/>
          <w:color w:val="000000"/>
          <w:sz w:val="32"/>
          <w:szCs w:val="32"/>
        </w:rPr>
        <w:t>财政收回、审计调整、归集调入或上缴、单位内部调剂等情况</w:t>
      </w:r>
      <w:r>
        <w:rPr>
          <w:rFonts w:hint="eastAsia" w:ascii="仿宋_GB2312" w:hAnsi="仿宋" w:eastAsia="仿宋_GB2312" w:cs="仿宋"/>
          <w:color w:val="000000"/>
          <w:sz w:val="32"/>
          <w:szCs w:val="32"/>
        </w:rPr>
        <w:t>。</w:t>
      </w:r>
    </w:p>
    <w:p>
      <w:pPr>
        <w:pStyle w:val="8"/>
        <w:numPr>
          <w:ilvl w:val="0"/>
          <w:numId w:val="2"/>
        </w:numPr>
        <w:ind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与2016年度部门决算会审数据比较，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2017年度</w:t>
      </w:r>
      <w:r>
        <w:rPr>
          <w:rFonts w:hint="eastAsia" w:ascii="仿宋_GB2312" w:eastAsia="仿宋_GB2312"/>
          <w:sz w:val="32"/>
          <w:szCs w:val="32"/>
          <w:highlight w:val="none"/>
        </w:rPr>
        <w:t>单位户数及名称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是否</w:t>
      </w:r>
      <w:r>
        <w:rPr>
          <w:rFonts w:hint="eastAsia" w:ascii="仿宋_GB2312" w:eastAsia="仿宋_GB2312"/>
          <w:sz w:val="32"/>
          <w:szCs w:val="32"/>
          <w:highlight w:val="none"/>
        </w:rPr>
        <w:t>发生变化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，变化原因：新增单位、机构改革合并分立、撤销、隶属关系改变、上年应报未报等。</w:t>
      </w:r>
    </w:p>
    <w:p>
      <w:pPr>
        <w:pStyle w:val="8"/>
        <w:numPr>
          <w:ilvl w:val="0"/>
          <w:numId w:val="2"/>
        </w:numPr>
        <w:ind w:leftChars="0" w:firstLine="640" w:firstLineChars="200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部门决算分析报告撰写提纲以及2017年度部门决算分析评价表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  <w:highlight w:val="none"/>
        </w:rPr>
        <w:t>部门决算填报说明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  <w:highlight w:val="none"/>
        </w:rPr>
        <w:t>2017年度部门决算报表收支余栏目与会计科目对应关系表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  <w:highlight w:val="none"/>
        </w:rPr>
        <w:t>2017年度会计科目与部门决算报表对应关系表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  <w:highlight w:val="none"/>
        </w:rPr>
        <w:t>2015-2017年部门决算报表编审问答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  <w:highlight w:val="none"/>
        </w:rPr>
        <w:t>部门决算审核常见问题及处理方法示例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是否齐备并已仔细分析。</w:t>
      </w:r>
    </w:p>
    <w:p>
      <w:pPr>
        <w:pStyle w:val="8"/>
        <w:numPr>
          <w:ilvl w:val="0"/>
          <w:numId w:val="3"/>
        </w:numPr>
        <w:rPr>
          <w:rFonts w:hint="eastAsia" w:ascii="仿宋_GB2312" w:eastAsia="仿宋_GB2312"/>
          <w:b/>
          <w:bCs/>
          <w:sz w:val="32"/>
          <w:szCs w:val="32"/>
          <w:lang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t>填报数据注意事项</w:t>
      </w:r>
    </w:p>
    <w:p>
      <w:pPr>
        <w:pStyle w:val="8"/>
        <w:numPr>
          <w:ilvl w:val="0"/>
          <w:numId w:val="4"/>
        </w:numPr>
        <w:ind w:firstLine="640" w:firstLineChars="200"/>
        <w:rPr>
          <w:rFonts w:hint="eastAsia" w:ascii="仿宋_GB2312" w:eastAsia="仿宋_GB2312"/>
          <w:b w:val="0"/>
          <w:bCs w:val="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支出明细表各类中“其他”项</w:t>
      </w:r>
      <w:r>
        <w:rPr>
          <w:rFonts w:hint="eastAsia" w:ascii="仿宋_GB2312" w:eastAsia="仿宋_GB2312"/>
          <w:sz w:val="32"/>
          <w:szCs w:val="32"/>
        </w:rPr>
        <w:t>原则上</w:t>
      </w:r>
      <w:r>
        <w:rPr>
          <w:rFonts w:hint="eastAsia" w:ascii="仿宋_GB2312" w:eastAsia="仿宋_GB2312"/>
          <w:b w:val="0"/>
          <w:bCs w:val="0"/>
          <w:sz w:val="32"/>
          <w:szCs w:val="32"/>
        </w:rPr>
        <w:t>填报数据</w:t>
      </w:r>
      <w:r>
        <w:rPr>
          <w:rFonts w:hint="eastAsia" w:ascii="仿宋_GB2312" w:eastAsia="仿宋_GB2312"/>
          <w:b w:val="0"/>
          <w:bCs w:val="0"/>
          <w:sz w:val="32"/>
          <w:szCs w:val="32"/>
          <w:lang w:eastAsia="zh-CN"/>
        </w:rPr>
        <w:t>的，原则上</w:t>
      </w:r>
      <w:r>
        <w:rPr>
          <w:rFonts w:hint="eastAsia" w:ascii="仿宋_GB2312" w:eastAsia="仿宋_GB2312"/>
          <w:b w:val="0"/>
          <w:bCs w:val="0"/>
          <w:sz w:val="32"/>
          <w:szCs w:val="32"/>
        </w:rPr>
        <w:t>占比</w:t>
      </w:r>
      <w:r>
        <w:rPr>
          <w:rFonts w:hint="eastAsia" w:ascii="仿宋_GB2312" w:eastAsia="仿宋_GB2312"/>
          <w:b w:val="0"/>
          <w:bCs w:val="0"/>
          <w:sz w:val="32"/>
          <w:szCs w:val="32"/>
          <w:lang w:eastAsia="zh-CN"/>
        </w:rPr>
        <w:t>不得</w:t>
      </w:r>
      <w:r>
        <w:rPr>
          <w:rFonts w:hint="eastAsia" w:ascii="仿宋_GB2312" w:eastAsia="仿宋_GB2312"/>
          <w:b w:val="0"/>
          <w:bCs w:val="0"/>
          <w:sz w:val="32"/>
          <w:szCs w:val="32"/>
        </w:rPr>
        <w:t>超过30%，</w:t>
      </w:r>
      <w:r>
        <w:rPr>
          <w:rFonts w:hint="eastAsia" w:ascii="仿宋_GB2312" w:eastAsia="仿宋_GB2312"/>
          <w:b w:val="0"/>
          <w:bCs w:val="0"/>
          <w:sz w:val="32"/>
          <w:szCs w:val="32"/>
          <w:lang w:eastAsia="zh-CN"/>
        </w:rPr>
        <w:t>如超过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30%的（含汇总数超过30%的）</w:t>
      </w:r>
      <w:r>
        <w:rPr>
          <w:rFonts w:hint="eastAsia" w:ascii="仿宋_GB2312" w:eastAsia="仿宋_GB2312"/>
          <w:sz w:val="32"/>
          <w:szCs w:val="32"/>
          <w:lang w:eastAsia="zh-CN"/>
        </w:rPr>
        <w:t>必须书面说明。</w:t>
      </w:r>
    </w:p>
    <w:p>
      <w:pPr>
        <w:pStyle w:val="8"/>
        <w:numPr>
          <w:ilvl w:val="0"/>
          <w:numId w:val="4"/>
        </w:numPr>
        <w:ind w:firstLine="640" w:firstLineChars="200"/>
        <w:rPr>
          <w:rFonts w:hint="eastAsia" w:ascii="仿宋_GB2312" w:eastAsia="仿宋_GB2312"/>
          <w:b w:val="0"/>
          <w:bCs w:val="0"/>
          <w:sz w:val="32"/>
          <w:szCs w:val="32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lang w:eastAsia="zh-CN"/>
        </w:rPr>
        <w:t>事业单位</w:t>
      </w:r>
      <w:r>
        <w:rPr>
          <w:rFonts w:hint="eastAsia" w:ascii="仿宋_GB2312" w:eastAsia="仿宋_GB2312"/>
          <w:b w:val="0"/>
          <w:bCs w:val="0"/>
          <w:sz w:val="32"/>
          <w:szCs w:val="32"/>
        </w:rPr>
        <w:t>提取职工福利基金比例超过非财政补助结余的40%的，</w:t>
      </w:r>
      <w:r>
        <w:rPr>
          <w:rFonts w:hint="eastAsia" w:ascii="仿宋_GB2312" w:eastAsia="仿宋_GB2312"/>
          <w:sz w:val="32"/>
          <w:szCs w:val="32"/>
          <w:lang w:eastAsia="zh-CN"/>
        </w:rPr>
        <w:t>必须书面说明。</w:t>
      </w:r>
    </w:p>
    <w:p>
      <w:pPr>
        <w:pStyle w:val="8"/>
        <w:numPr>
          <w:ilvl w:val="0"/>
          <w:numId w:val="4"/>
        </w:numPr>
        <w:ind w:firstLine="640" w:firstLineChars="200"/>
        <w:rPr>
          <w:rFonts w:hint="eastAsia" w:ascii="仿宋_GB2312" w:eastAsia="仿宋_GB2312"/>
          <w:b w:val="0"/>
          <w:bCs w:val="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事业单位</w:t>
      </w:r>
      <w:r>
        <w:rPr>
          <w:rFonts w:hint="eastAsia" w:ascii="仿宋_GB2312" w:eastAsia="仿宋_GB2312"/>
          <w:sz w:val="32"/>
          <w:szCs w:val="32"/>
          <w:lang w:eastAsia="zh-CN"/>
        </w:rPr>
        <w:t>不填列</w:t>
      </w:r>
      <w:r>
        <w:rPr>
          <w:rFonts w:hint="eastAsia" w:ascii="仿宋_GB2312" w:eastAsia="仿宋_GB2312"/>
          <w:sz w:val="32"/>
          <w:szCs w:val="32"/>
        </w:rPr>
        <w:t>其他净资产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pStyle w:val="8"/>
        <w:numPr>
          <w:ilvl w:val="0"/>
          <w:numId w:val="4"/>
        </w:num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“公务用车运行维护费”明确不含“租用费”。“其他交通费用”明确不含“过路过桥费”，包含“租车费用”。</w:t>
      </w:r>
    </w:p>
    <w:p>
      <w:pPr>
        <w:pStyle w:val="8"/>
        <w:numPr>
          <w:ilvl w:val="0"/>
          <w:numId w:val="4"/>
        </w:num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“其他收入”本科目核算事业单位除财政补助收入、事业收入、上级补助收入、附属单位上缴收入、经营收入以外的各项收入，包括投资收益、银行存款利息收入、租金收入、捐赠收入、现金盘盈收入、存货盘盈收入、收回已核销应收及预付款项、无法偿付的应付及预收款项等。必须</w:t>
      </w:r>
      <w:r>
        <w:rPr>
          <w:rFonts w:hint="eastAsia" w:ascii="仿宋_GB2312" w:eastAsia="仿宋_GB2312"/>
          <w:sz w:val="32"/>
          <w:szCs w:val="32"/>
        </w:rPr>
        <w:t>书面说明情况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pStyle w:val="8"/>
        <w:numPr>
          <w:ilvl w:val="0"/>
          <w:numId w:val="4"/>
        </w:num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基本数字表</w:t>
      </w:r>
      <w:r>
        <w:rPr>
          <w:rFonts w:hint="eastAsia" w:ascii="仿宋_GB2312" w:eastAsia="仿宋_GB2312"/>
          <w:sz w:val="32"/>
          <w:szCs w:val="32"/>
          <w:lang w:eastAsia="zh-CN"/>
        </w:rPr>
        <w:t>中所有指标均不包括编制外长期聘人员、遗属和临时工。“</w:t>
      </w:r>
      <w:r>
        <w:rPr>
          <w:rFonts w:hint="eastAsia" w:ascii="仿宋_GB2312" w:eastAsia="仿宋_GB2312"/>
          <w:sz w:val="32"/>
          <w:szCs w:val="32"/>
        </w:rPr>
        <w:t>一般公共预算财政拨款开支人数</w:t>
      </w:r>
      <w:r>
        <w:rPr>
          <w:rFonts w:hint="eastAsia" w:ascii="仿宋_GB2312" w:eastAsia="仿宋_GB2312"/>
          <w:sz w:val="32"/>
          <w:szCs w:val="32"/>
          <w:lang w:eastAsia="zh-CN"/>
        </w:rPr>
        <w:t>”</w:t>
      </w:r>
      <w:r>
        <w:rPr>
          <w:rFonts w:hint="eastAsia" w:ascii="仿宋_GB2312" w:eastAsia="仿宋_GB2312"/>
          <w:sz w:val="32"/>
          <w:szCs w:val="32"/>
        </w:rPr>
        <w:t>行政人员及参照公务员法管理的事业人员</w:t>
      </w:r>
      <w:r>
        <w:rPr>
          <w:rFonts w:hint="eastAsia" w:ascii="仿宋_GB2312" w:eastAsia="仿宋_GB2312"/>
          <w:sz w:val="32"/>
          <w:szCs w:val="32"/>
          <w:lang w:eastAsia="zh-CN"/>
        </w:rPr>
        <w:t>。“</w:t>
      </w:r>
      <w:r>
        <w:rPr>
          <w:rFonts w:hint="eastAsia" w:ascii="仿宋_GB2312" w:eastAsia="仿宋_GB2312"/>
          <w:sz w:val="32"/>
          <w:szCs w:val="32"/>
        </w:rPr>
        <w:t>一般公共预算财政补助开支人数</w:t>
      </w:r>
      <w:r>
        <w:rPr>
          <w:rFonts w:hint="eastAsia" w:ascii="仿宋_GB2312" w:eastAsia="仿宋_GB2312"/>
          <w:sz w:val="32"/>
          <w:szCs w:val="32"/>
          <w:lang w:eastAsia="zh-CN"/>
        </w:rPr>
        <w:t>”</w:t>
      </w:r>
      <w:r>
        <w:rPr>
          <w:rFonts w:hint="eastAsia" w:ascii="仿宋_GB2312" w:eastAsia="仿宋_GB2312"/>
          <w:sz w:val="32"/>
          <w:szCs w:val="32"/>
        </w:rPr>
        <w:t>事业人员，不含参照公务员法管理的事业人员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pStyle w:val="8"/>
        <w:numPr>
          <w:ilvl w:val="0"/>
          <w:numId w:val="4"/>
        </w:num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“</w:t>
      </w:r>
      <w:r>
        <w:rPr>
          <w:rFonts w:hint="eastAsia" w:ascii="仿宋_GB2312" w:eastAsia="仿宋_GB2312"/>
          <w:sz w:val="32"/>
          <w:szCs w:val="32"/>
        </w:rPr>
        <w:t>机构人员情况表</w:t>
      </w:r>
      <w:r>
        <w:rPr>
          <w:rFonts w:hint="eastAsia" w:ascii="仿宋_GB2312" w:eastAsia="仿宋_GB2312"/>
          <w:sz w:val="32"/>
          <w:szCs w:val="32"/>
          <w:lang w:eastAsia="zh-CN"/>
        </w:rPr>
        <w:t>中其他人员”由单位人事部门管理的聘用期1年以上的编制外聘用人员，不包括工勤编制人员和临时工。“年末实有人数”</w:t>
      </w:r>
      <w:r>
        <w:rPr>
          <w:rFonts w:hint="eastAsia" w:ascii="仿宋_GB2312" w:eastAsia="仿宋_GB2312"/>
          <w:b w:val="0"/>
          <w:bCs w:val="0"/>
          <w:sz w:val="32"/>
          <w:szCs w:val="32"/>
          <w:lang w:eastAsia="zh-CN"/>
        </w:rPr>
        <w:t>按政府编制管理部门核定，</w:t>
      </w:r>
      <w:r>
        <w:rPr>
          <w:rFonts w:hint="eastAsia" w:ascii="仿宋_GB2312" w:eastAsia="仿宋_GB2312"/>
          <w:sz w:val="32"/>
          <w:szCs w:val="32"/>
          <w:lang w:eastAsia="zh-CN"/>
        </w:rPr>
        <w:t>与财政部门实际供给经费方式不一致时，按财政供给经费方式对应填列。</w:t>
      </w:r>
    </w:p>
    <w:p>
      <w:pPr>
        <w:pStyle w:val="8"/>
        <w:numPr>
          <w:ilvl w:val="0"/>
          <w:numId w:val="4"/>
        </w:num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“</w:t>
      </w:r>
      <w:r>
        <w:rPr>
          <w:rFonts w:hint="eastAsia" w:ascii="仿宋_GB2312" w:eastAsia="仿宋_GB2312"/>
          <w:sz w:val="32"/>
          <w:szCs w:val="32"/>
        </w:rPr>
        <w:t>学生人数</w:t>
      </w:r>
      <w:r>
        <w:rPr>
          <w:rFonts w:hint="eastAsia" w:ascii="仿宋_GB2312" w:eastAsia="仿宋_GB2312"/>
          <w:sz w:val="32"/>
          <w:szCs w:val="32"/>
          <w:lang w:eastAsia="zh-CN"/>
        </w:rPr>
        <w:t>”</w:t>
      </w:r>
      <w:r>
        <w:rPr>
          <w:rFonts w:hint="eastAsia" w:ascii="仿宋_GB2312" w:eastAsia="仿宋_GB2312"/>
          <w:sz w:val="32"/>
          <w:szCs w:val="32"/>
        </w:rPr>
        <w:t>填列经国家批准按统一计划招收的各类全日制在校研究生、本专科学生、留学生、中等教育学生、初等教育学生以及干部进修和培训等人数，不包括学前教育（即幼儿园）学生数，其中，干部进修和培训指三个月以上的中长期培训，培训人数按年度累计人次计算。</w:t>
      </w:r>
      <w:r>
        <w:rPr>
          <w:rFonts w:hint="eastAsia" w:ascii="仿宋_GB2312" w:eastAsia="仿宋_GB2312"/>
          <w:sz w:val="32"/>
          <w:szCs w:val="32"/>
          <w:lang w:eastAsia="zh-CN"/>
        </w:rPr>
        <w:t>必须</w:t>
      </w:r>
      <w:r>
        <w:rPr>
          <w:rFonts w:hint="eastAsia" w:ascii="仿宋_GB2312" w:eastAsia="仿宋_GB2312"/>
          <w:sz w:val="32"/>
          <w:szCs w:val="32"/>
        </w:rPr>
        <w:t>书面说明情况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pStyle w:val="8"/>
        <w:numPr>
          <w:ilvl w:val="0"/>
          <w:numId w:val="4"/>
        </w:num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资产情况表</w:t>
      </w:r>
      <w:r>
        <w:rPr>
          <w:rFonts w:hint="eastAsia" w:ascii="仿宋_GB2312" w:eastAsia="仿宋_GB2312"/>
          <w:sz w:val="32"/>
          <w:szCs w:val="32"/>
          <w:lang w:eastAsia="zh-CN"/>
        </w:rPr>
        <w:t>中各项资产价值按资产原值填列，单位根据有关明细账和实物台账填列。“流动资产”含短期投资。“年末单位土地证证载面积”必须与土地证证载面积一致。“年末单位负担费用的供暖面积”含已过户，但仍负担供暖费用的。“年末单位出租出借房屋面积”含无偿出租出借的。</w:t>
      </w:r>
    </w:p>
    <w:p>
      <w:pPr>
        <w:pStyle w:val="8"/>
        <w:numPr>
          <w:ilvl w:val="0"/>
          <w:numId w:val="2"/>
        </w:numPr>
        <w:ind w:leftChars="0" w:firstLine="640" w:firstLineChars="200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</w:rPr>
        <w:t>各单位基本支出以及政府性基金预算项目支出按以下规则编报：一是一般公共预算基本支出，一级项目代码和名称统一填列“00000000”和“基本支出”，其中：对于人员经费，二级项目代码和名称统一填列“000000000000000001”和“人员经费”；对于公用经费，二级项目代码和名称统一填列“000000000000000002”和“公用经费”。二是政府性基金预算基本支出，一级项目代码和名称统一填列“99999999”和“基本支出”，其中：对于人员经费，二级项目代码和名称统一填列“999999990000000001”和“人员经费”；对于公用经费，二级项目代码和名称统一填列“999999990000000002”和“公用经费”。三是政府性基金预算项目支出，一级项目代码和名称统一填列“99999999”和“政府性基金预算项目”。</w:t>
      </w:r>
    </w:p>
    <w:p>
      <w:pPr>
        <w:pStyle w:val="8"/>
        <w:numPr>
          <w:ilvl w:val="0"/>
          <w:numId w:val="4"/>
        </w:num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财政专户管理资金收入支出决算表</w:t>
      </w:r>
      <w:r>
        <w:rPr>
          <w:rFonts w:hint="eastAsia" w:ascii="仿宋_GB2312" w:eastAsia="仿宋_GB2312"/>
          <w:sz w:val="32"/>
          <w:szCs w:val="32"/>
          <w:lang w:eastAsia="zh-CN"/>
        </w:rPr>
        <w:t>中</w:t>
      </w:r>
      <w:r>
        <w:rPr>
          <w:rFonts w:hint="eastAsia" w:ascii="仿宋_GB2312" w:eastAsia="仿宋_GB2312"/>
          <w:sz w:val="32"/>
          <w:szCs w:val="32"/>
        </w:rPr>
        <w:t>除教育收费以外的资金收支情况需在填报说明中单列说明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pStyle w:val="8"/>
        <w:numPr>
          <w:ilvl w:val="0"/>
          <w:numId w:val="4"/>
        </w:num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国有资产收益征缴情况表</w:t>
      </w:r>
      <w:r>
        <w:rPr>
          <w:rFonts w:hint="eastAsia" w:ascii="仿宋_GB2312" w:eastAsia="仿宋_GB2312"/>
          <w:sz w:val="32"/>
          <w:szCs w:val="32"/>
          <w:lang w:eastAsia="zh-CN"/>
        </w:rPr>
        <w:t>中国有资产收益的实际征缴情况及有关明细账必须书面说明。</w:t>
      </w:r>
    </w:p>
    <w:p>
      <w:pPr>
        <w:pStyle w:val="8"/>
        <w:numPr>
          <w:ilvl w:val="0"/>
          <w:numId w:val="4"/>
        </w:num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非税收入征缴情况表</w:t>
      </w:r>
      <w:r>
        <w:rPr>
          <w:rFonts w:hint="eastAsia" w:ascii="仿宋_GB2312" w:eastAsia="仿宋_GB2312"/>
          <w:sz w:val="32"/>
          <w:szCs w:val="32"/>
          <w:lang w:eastAsia="zh-CN"/>
        </w:rPr>
        <w:t>必须逐项书面说明情况。</w:t>
      </w:r>
    </w:p>
    <w:p>
      <w:pPr>
        <w:rPr>
          <w:rFonts w:hint="eastAsia" w:ascii="仿宋_GB2312" w:eastAsia="仿宋_GB2312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简标宋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bookmarkStart w:id="0" w:name="_GoBack"/>
    <w:bookmarkEnd w:id="0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28ADAF"/>
    <w:multiLevelType w:val="singleLevel"/>
    <w:tmpl w:val="5A28ADAF"/>
    <w:lvl w:ilvl="0" w:tentative="0">
      <w:start w:val="1"/>
      <w:numFmt w:val="chineseCounting"/>
      <w:suff w:val="nothing"/>
      <w:lvlText w:val="（%1）"/>
      <w:lvlJc w:val="left"/>
    </w:lvl>
  </w:abstractNum>
  <w:abstractNum w:abstractNumId="1">
    <w:nsid w:val="5A28BF29"/>
    <w:multiLevelType w:val="singleLevel"/>
    <w:tmpl w:val="5A28BF29"/>
    <w:lvl w:ilvl="0" w:tentative="0">
      <w:start w:val="2"/>
      <w:numFmt w:val="chineseCounting"/>
      <w:suff w:val="nothing"/>
      <w:lvlText w:val="%1、"/>
      <w:lvlJc w:val="left"/>
    </w:lvl>
  </w:abstractNum>
  <w:abstractNum w:abstractNumId="2">
    <w:nsid w:val="5A28BF5F"/>
    <w:multiLevelType w:val="singleLevel"/>
    <w:tmpl w:val="5A28BF5F"/>
    <w:lvl w:ilvl="0" w:tentative="0">
      <w:start w:val="1"/>
      <w:numFmt w:val="chineseCounting"/>
      <w:suff w:val="nothing"/>
      <w:lvlText w:val="（%1）"/>
      <w:lvlJc w:val="left"/>
    </w:lvl>
  </w:abstractNum>
  <w:abstractNum w:abstractNumId="3">
    <w:nsid w:val="5A28CC87"/>
    <w:multiLevelType w:val="singleLevel"/>
    <w:tmpl w:val="5A28CC87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382A"/>
    <w:rsid w:val="000009F4"/>
    <w:rsid w:val="00056A3D"/>
    <w:rsid w:val="0017382A"/>
    <w:rsid w:val="001A326E"/>
    <w:rsid w:val="005124FF"/>
    <w:rsid w:val="005F314E"/>
    <w:rsid w:val="0060254A"/>
    <w:rsid w:val="00A659F0"/>
    <w:rsid w:val="00DC09F3"/>
    <w:rsid w:val="00DD1859"/>
    <w:rsid w:val="00EA1307"/>
    <w:rsid w:val="016A264A"/>
    <w:rsid w:val="01B33811"/>
    <w:rsid w:val="02964909"/>
    <w:rsid w:val="02D7354C"/>
    <w:rsid w:val="03E30653"/>
    <w:rsid w:val="041E5748"/>
    <w:rsid w:val="042C112F"/>
    <w:rsid w:val="04C03F66"/>
    <w:rsid w:val="04CD73A4"/>
    <w:rsid w:val="052324F6"/>
    <w:rsid w:val="05937205"/>
    <w:rsid w:val="059C7778"/>
    <w:rsid w:val="05DD0AB5"/>
    <w:rsid w:val="064E2473"/>
    <w:rsid w:val="09081732"/>
    <w:rsid w:val="09751F3D"/>
    <w:rsid w:val="0A0B08C9"/>
    <w:rsid w:val="0A2E4012"/>
    <w:rsid w:val="0A75477B"/>
    <w:rsid w:val="0AF52A40"/>
    <w:rsid w:val="0B2133F7"/>
    <w:rsid w:val="0B867507"/>
    <w:rsid w:val="0BE834B4"/>
    <w:rsid w:val="0C3B51D2"/>
    <w:rsid w:val="0D126111"/>
    <w:rsid w:val="0E2B0AE0"/>
    <w:rsid w:val="0E582C02"/>
    <w:rsid w:val="0F3A1A10"/>
    <w:rsid w:val="10AF0451"/>
    <w:rsid w:val="119A6090"/>
    <w:rsid w:val="11A01EC7"/>
    <w:rsid w:val="1317573E"/>
    <w:rsid w:val="134A74A4"/>
    <w:rsid w:val="144641ED"/>
    <w:rsid w:val="146A0429"/>
    <w:rsid w:val="15CA4BE3"/>
    <w:rsid w:val="164F628B"/>
    <w:rsid w:val="174D1658"/>
    <w:rsid w:val="17D90D73"/>
    <w:rsid w:val="17DB050C"/>
    <w:rsid w:val="1841616B"/>
    <w:rsid w:val="189276F0"/>
    <w:rsid w:val="1A3C5CD6"/>
    <w:rsid w:val="1B460009"/>
    <w:rsid w:val="1D4E3A4A"/>
    <w:rsid w:val="1D9A4112"/>
    <w:rsid w:val="1F6F7C2D"/>
    <w:rsid w:val="206E16F2"/>
    <w:rsid w:val="208E3367"/>
    <w:rsid w:val="234F4FD3"/>
    <w:rsid w:val="239A67FD"/>
    <w:rsid w:val="243F5F3C"/>
    <w:rsid w:val="24A02818"/>
    <w:rsid w:val="25166AFB"/>
    <w:rsid w:val="25382647"/>
    <w:rsid w:val="26502E5D"/>
    <w:rsid w:val="269B3974"/>
    <w:rsid w:val="26BC602C"/>
    <w:rsid w:val="26FA4D19"/>
    <w:rsid w:val="28211E68"/>
    <w:rsid w:val="2D407404"/>
    <w:rsid w:val="2D782AF0"/>
    <w:rsid w:val="2E8C20C3"/>
    <w:rsid w:val="2F387ADA"/>
    <w:rsid w:val="30FB46E3"/>
    <w:rsid w:val="315F4278"/>
    <w:rsid w:val="349C5A8D"/>
    <w:rsid w:val="378A75B0"/>
    <w:rsid w:val="387E0FA3"/>
    <w:rsid w:val="388C61A5"/>
    <w:rsid w:val="3AE102A4"/>
    <w:rsid w:val="3C6D34DB"/>
    <w:rsid w:val="3E4055C7"/>
    <w:rsid w:val="3F316888"/>
    <w:rsid w:val="40864802"/>
    <w:rsid w:val="416F0135"/>
    <w:rsid w:val="4737345B"/>
    <w:rsid w:val="47803AE5"/>
    <w:rsid w:val="48643B65"/>
    <w:rsid w:val="49464E4A"/>
    <w:rsid w:val="49642083"/>
    <w:rsid w:val="49A36101"/>
    <w:rsid w:val="49EF29EF"/>
    <w:rsid w:val="4A6248E0"/>
    <w:rsid w:val="4A920423"/>
    <w:rsid w:val="4AD3045D"/>
    <w:rsid w:val="4DCB5E96"/>
    <w:rsid w:val="4DE30A82"/>
    <w:rsid w:val="4E0877EB"/>
    <w:rsid w:val="518F68AF"/>
    <w:rsid w:val="53184C4C"/>
    <w:rsid w:val="55775484"/>
    <w:rsid w:val="56907B32"/>
    <w:rsid w:val="57696CF9"/>
    <w:rsid w:val="5787396C"/>
    <w:rsid w:val="57A93C73"/>
    <w:rsid w:val="58FD6700"/>
    <w:rsid w:val="592B586C"/>
    <w:rsid w:val="59DC0336"/>
    <w:rsid w:val="5AF93779"/>
    <w:rsid w:val="5C90184F"/>
    <w:rsid w:val="5D3D2FF7"/>
    <w:rsid w:val="5EF44D70"/>
    <w:rsid w:val="5F1B21AB"/>
    <w:rsid w:val="61067EF6"/>
    <w:rsid w:val="621213C0"/>
    <w:rsid w:val="621729AC"/>
    <w:rsid w:val="62186F9E"/>
    <w:rsid w:val="62220E17"/>
    <w:rsid w:val="632C6C7E"/>
    <w:rsid w:val="64001F0D"/>
    <w:rsid w:val="6434525F"/>
    <w:rsid w:val="647511FA"/>
    <w:rsid w:val="64816AE8"/>
    <w:rsid w:val="64876F77"/>
    <w:rsid w:val="64A22136"/>
    <w:rsid w:val="652B299D"/>
    <w:rsid w:val="65DC0289"/>
    <w:rsid w:val="66372F10"/>
    <w:rsid w:val="6696661B"/>
    <w:rsid w:val="68A86634"/>
    <w:rsid w:val="695031F7"/>
    <w:rsid w:val="69A06CE6"/>
    <w:rsid w:val="69CF76A1"/>
    <w:rsid w:val="6A422D36"/>
    <w:rsid w:val="6B94041B"/>
    <w:rsid w:val="6C120CE9"/>
    <w:rsid w:val="6CA676D9"/>
    <w:rsid w:val="6D1E75F6"/>
    <w:rsid w:val="6D433359"/>
    <w:rsid w:val="6E8D651A"/>
    <w:rsid w:val="6FFA512D"/>
    <w:rsid w:val="705945BE"/>
    <w:rsid w:val="71AF438A"/>
    <w:rsid w:val="72AE03C4"/>
    <w:rsid w:val="733420A7"/>
    <w:rsid w:val="73870AC7"/>
    <w:rsid w:val="73B32578"/>
    <w:rsid w:val="74480A24"/>
    <w:rsid w:val="74B61608"/>
    <w:rsid w:val="755150FF"/>
    <w:rsid w:val="76A22858"/>
    <w:rsid w:val="77180FD3"/>
    <w:rsid w:val="7DDC4982"/>
    <w:rsid w:val="7E0E223B"/>
    <w:rsid w:val="7E1A0235"/>
    <w:rsid w:val="7EE24EC1"/>
    <w:rsid w:val="7EF16152"/>
    <w:rsid w:val="7F4E4154"/>
    <w:rsid w:val="7F9D3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</Words>
  <Characters>160</Characters>
  <Lines>1</Lines>
  <Paragraphs>1</Paragraphs>
  <ScaleCrop>false</ScaleCrop>
  <LinksUpToDate>false</LinksUpToDate>
  <CharactersWithSpaces>186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2017-12-07T01:19:00Z</dcterms:created>
  <dc:creator>梁宣健</dc:creator>
  <cp:lastModifiedBy>高贵明</cp:lastModifiedBy>
  <dcterms:modified xsi:type="dcterms:W3CDTF">2017-12-08T05:36:30Z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