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D7" w:rsidRPr="00172ED7" w:rsidRDefault="00172ED7" w:rsidP="00172ED7">
      <w:pPr>
        <w:pStyle w:val="a5"/>
        <w:shd w:val="clear" w:color="auto" w:fill="FFFFFF"/>
        <w:adjustRightInd w:val="0"/>
        <w:spacing w:before="0" w:beforeAutospacing="0" w:after="0" w:afterAutospacing="0" w:line="600" w:lineRule="exact"/>
        <w:jc w:val="center"/>
        <w:rPr>
          <w:rFonts w:ascii="微软简标宋" w:eastAsia="微软简标宋" w:hAnsi="微软雅黑" w:hint="eastAsia"/>
          <w:color w:val="4D4F53"/>
          <w:sz w:val="44"/>
          <w:szCs w:val="44"/>
        </w:rPr>
      </w:pPr>
      <w:r w:rsidRPr="00172ED7">
        <w:rPr>
          <w:rFonts w:ascii="微软简标宋" w:eastAsia="微软简标宋" w:hAnsi="微软雅黑" w:hint="eastAsia"/>
          <w:color w:val="4D4F53"/>
          <w:sz w:val="44"/>
          <w:szCs w:val="44"/>
        </w:rPr>
        <w:t>天津市滨海新区2019年区级一般公共预算财政拨款“三公”经费支出决算情况的说明</w:t>
      </w:r>
    </w:p>
    <w:p w:rsidR="00172ED7" w:rsidRDefault="00172ED7" w:rsidP="00172ED7">
      <w:pPr>
        <w:pStyle w:val="a5"/>
        <w:shd w:val="clear" w:color="auto" w:fill="FFFFFF"/>
        <w:adjustRightInd w:val="0"/>
        <w:spacing w:before="0" w:beforeAutospacing="0" w:after="0" w:afterAutospacing="0" w:line="600" w:lineRule="exact"/>
        <w:ind w:firstLine="480"/>
        <w:jc w:val="both"/>
        <w:rPr>
          <w:rFonts w:ascii="微软雅黑" w:eastAsia="微软雅黑" w:hAnsi="微软雅黑" w:hint="eastAsia"/>
          <w:color w:val="4D4F53"/>
          <w:sz w:val="23"/>
          <w:szCs w:val="23"/>
        </w:rPr>
      </w:pPr>
    </w:p>
    <w:p w:rsidR="00172ED7" w:rsidRPr="00172ED7" w:rsidRDefault="00172ED7" w:rsidP="00172ED7">
      <w:pPr>
        <w:pStyle w:val="a5"/>
        <w:shd w:val="clear" w:color="auto" w:fill="FFFFFF"/>
        <w:adjustRightInd w:val="0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172ED7">
        <w:rPr>
          <w:rFonts w:ascii="仿宋_GB2312" w:eastAsia="仿宋_GB2312" w:hAnsi="微软雅黑" w:hint="eastAsia"/>
          <w:color w:val="4D4F53"/>
          <w:sz w:val="32"/>
          <w:szCs w:val="32"/>
        </w:rPr>
        <w:t>2019年区级预算单位用一般公共预算财政拨款安排的因公出国（境）费、公务用车购置及运行维护费、公务接待费等“三公”经费支出决算0.8亿元，比预算数减少0.49亿元，主要是区级部门贯彻落实厉行节约真过紧日子要求，从严控制和压缩“三</w:t>
      </w:r>
      <w:bookmarkStart w:id="0" w:name="_GoBack"/>
      <w:bookmarkEnd w:id="0"/>
      <w:r w:rsidRPr="00172ED7">
        <w:rPr>
          <w:rFonts w:ascii="仿宋_GB2312" w:eastAsia="仿宋_GB2312" w:hAnsi="微软雅黑" w:hint="eastAsia"/>
          <w:color w:val="4D4F53"/>
          <w:sz w:val="32"/>
          <w:szCs w:val="32"/>
        </w:rPr>
        <w:t>公”经费支出，具体情况：</w:t>
      </w:r>
    </w:p>
    <w:p w:rsidR="00172ED7" w:rsidRPr="00172ED7" w:rsidRDefault="00172ED7" w:rsidP="00172ED7">
      <w:pPr>
        <w:pStyle w:val="a5"/>
        <w:shd w:val="clear" w:color="auto" w:fill="FFFFFF"/>
        <w:adjustRightInd w:val="0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172ED7">
        <w:rPr>
          <w:rFonts w:ascii="仿宋_GB2312" w:eastAsia="仿宋_GB2312" w:hAnsi="微软雅黑" w:hint="eastAsia"/>
          <w:color w:val="4D4F53"/>
          <w:sz w:val="32"/>
          <w:szCs w:val="32"/>
        </w:rPr>
        <w:t>一、2019年因公出国（境）费0.06亿元，与预算相比减少0.09亿元。2019年因公出国团组90个，出国176人次。</w:t>
      </w:r>
    </w:p>
    <w:p w:rsidR="00172ED7" w:rsidRPr="00172ED7" w:rsidRDefault="00172ED7" w:rsidP="00172ED7">
      <w:pPr>
        <w:pStyle w:val="a5"/>
        <w:shd w:val="clear" w:color="auto" w:fill="FFFFFF"/>
        <w:adjustRightInd w:val="0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172ED7">
        <w:rPr>
          <w:rFonts w:ascii="仿宋_GB2312" w:eastAsia="仿宋_GB2312" w:hAnsi="微软雅黑" w:hint="eastAsia"/>
          <w:color w:val="4D4F53"/>
          <w:sz w:val="32"/>
          <w:szCs w:val="32"/>
        </w:rPr>
        <w:t>二、2019年公务用车购置及运行维护费0.69亿元，与预算相比减少0.29亿元。其中，公务用车运行维护费0.43亿元，与预算相比减少0.26亿元；公务用车购置费0.26亿元，与预算相比减少0.02亿元。2019年公务用车保有2024辆，购置公务用车184辆。</w:t>
      </w:r>
    </w:p>
    <w:p w:rsidR="00172ED7" w:rsidRPr="00172ED7" w:rsidRDefault="00172ED7" w:rsidP="00172ED7">
      <w:pPr>
        <w:pStyle w:val="a5"/>
        <w:shd w:val="clear" w:color="auto" w:fill="FFFFFF"/>
        <w:adjustRightInd w:val="0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 w:hint="eastAsia"/>
          <w:color w:val="4D4F53"/>
          <w:sz w:val="32"/>
          <w:szCs w:val="32"/>
        </w:rPr>
      </w:pPr>
      <w:r w:rsidRPr="00172ED7">
        <w:rPr>
          <w:rFonts w:ascii="仿宋_GB2312" w:eastAsia="仿宋_GB2312" w:hAnsi="微软雅黑" w:hint="eastAsia"/>
          <w:color w:val="4D4F53"/>
          <w:sz w:val="32"/>
          <w:szCs w:val="32"/>
        </w:rPr>
        <w:t>三、2019年公务接待费0.05亿元，与预算相比减少0.11亿元。2019年本单位国内公务接待5,794批次，67,204人次；其中，外事接待212批次，1,823人次。</w:t>
      </w:r>
    </w:p>
    <w:p w:rsidR="00C54629" w:rsidRPr="00172ED7" w:rsidRDefault="007D6A4B" w:rsidP="00172ED7">
      <w:pPr>
        <w:adjustRightInd w:val="0"/>
        <w:spacing w:line="600" w:lineRule="exact"/>
      </w:pPr>
    </w:p>
    <w:sectPr w:rsidR="00C54629" w:rsidRPr="00172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4B" w:rsidRDefault="007D6A4B" w:rsidP="00172ED7">
      <w:r>
        <w:separator/>
      </w:r>
    </w:p>
  </w:endnote>
  <w:endnote w:type="continuationSeparator" w:id="0">
    <w:p w:rsidR="007D6A4B" w:rsidRDefault="007D6A4B" w:rsidP="0017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微软雅黑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4B" w:rsidRDefault="007D6A4B" w:rsidP="00172ED7">
      <w:r>
        <w:separator/>
      </w:r>
    </w:p>
  </w:footnote>
  <w:footnote w:type="continuationSeparator" w:id="0">
    <w:p w:rsidR="007D6A4B" w:rsidRDefault="007D6A4B" w:rsidP="0017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21"/>
    <w:rsid w:val="00172ED7"/>
    <w:rsid w:val="00430A21"/>
    <w:rsid w:val="007D6A4B"/>
    <w:rsid w:val="0087187D"/>
    <w:rsid w:val="00D52AA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E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2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E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E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2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梁宣健</dc:creator>
  <cp:lastModifiedBy>梁宣健</cp:lastModifiedBy>
  <cp:revision>6</cp:revision>
  <cp:lastPrinted>2021-06-11T02:46:00Z</cp:lastPrinted>
  <dcterms:created xsi:type="dcterms:W3CDTF">2021-06-11T02:43:00Z</dcterms:created>
  <dcterms:modified xsi:type="dcterms:W3CDTF">2021-06-11T02:47:00Z</dcterms:modified>
</cp:coreProperties>
</file>