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88" w:lineRule="exact"/>
        <w:textAlignment w:val="baseline"/>
        <w:rPr>
          <w:rFonts w:hint="eastAsia" w:ascii="Times New Roman" w:hAnsi="Times New Roman"/>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天津市</w:t>
      </w:r>
      <w:r>
        <w:rPr>
          <w:rFonts w:hint="eastAsia" w:ascii="方正小标宋简体" w:hAnsi="宋体" w:eastAsia="方正小标宋简体"/>
          <w:sz w:val="44"/>
          <w:szCs w:val="44"/>
          <w:lang w:eastAsia="zh-CN"/>
        </w:rPr>
        <w:t>滨海新区</w:t>
      </w:r>
      <w:r>
        <w:rPr>
          <w:rFonts w:hint="eastAsia" w:ascii="方正小标宋简体" w:hAnsi="宋体" w:eastAsia="方正小标宋简体"/>
          <w:sz w:val="44"/>
          <w:szCs w:val="44"/>
        </w:rPr>
        <w:t>财政局关于做好政府</w:t>
      </w:r>
      <w:r>
        <w:rPr>
          <w:rFonts w:ascii="方正小标宋简体" w:hAnsi="宋体" w:eastAsia="方正小标宋简体"/>
          <w:sz w:val="44"/>
          <w:szCs w:val="44"/>
        </w:rPr>
        <w:t>采购</w:t>
      </w:r>
      <w:r>
        <w:rPr>
          <w:rFonts w:hint="eastAsia" w:ascii="方正小标宋简体" w:hAnsi="宋体" w:eastAsia="方正小标宋简体"/>
          <w:sz w:val="44"/>
          <w:szCs w:val="44"/>
        </w:rPr>
        <w:t>促进</w:t>
      </w:r>
      <w:r>
        <w:rPr>
          <w:rFonts w:ascii="方正小标宋简体" w:hAnsi="宋体" w:eastAsia="方正小标宋简体"/>
          <w:sz w:val="44"/>
          <w:szCs w:val="44"/>
        </w:rPr>
        <w:t>中小企业发展政策落实情况</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报告</w:t>
      </w:r>
      <w:r>
        <w:rPr>
          <w:rFonts w:ascii="方正小标宋简体" w:hAnsi="宋体" w:eastAsia="方正小标宋简体"/>
          <w:sz w:val="44"/>
          <w:szCs w:val="44"/>
        </w:rPr>
        <w:t>和公开工作的</w:t>
      </w:r>
      <w:r>
        <w:rPr>
          <w:rFonts w:hint="eastAsia" w:ascii="方正小标宋简体" w:hAnsi="宋体" w:eastAsia="方正小标宋简体"/>
          <w:sz w:val="44"/>
          <w:szCs w:val="44"/>
        </w:rPr>
        <w:t>通知</w:t>
      </w:r>
    </w:p>
    <w:p>
      <w:pPr>
        <w:spacing w:line="580" w:lineRule="exact"/>
        <w:jc w:val="center"/>
        <w:rPr>
          <w:rFonts w:hint="eastAsia" w:ascii="Times New Roman" w:hAnsi="Times New Roman" w:eastAsia="仿宋_GB2312" w:cs="仿宋_GB2312"/>
          <w:sz w:val="32"/>
          <w:szCs w:val="32"/>
          <w:lang w:eastAsia="zh-CN"/>
        </w:rPr>
      </w:pPr>
    </w:p>
    <w:p>
      <w:pPr>
        <w:spacing w:line="58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cs="仿宋_GB2312"/>
          <w:sz w:val="32"/>
          <w:szCs w:val="32"/>
          <w:lang w:eastAsia="zh-CN"/>
        </w:rPr>
        <w:t>津滨财</w:t>
      </w:r>
      <w:r>
        <w:rPr>
          <w:rFonts w:hint="eastAsia" w:ascii="Times New Roman" w:hAnsi="Times New Roman" w:eastAsia="仿宋_GB2312" w:cs="仿宋_GB2312"/>
          <w:color w:val="000000"/>
          <w:sz w:val="32"/>
          <w:szCs w:val="32"/>
          <w:lang w:eastAsia="zh-CN"/>
        </w:rPr>
        <w:t>采</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202</w:t>
      </w:r>
      <w:r>
        <w:rPr>
          <w:rFonts w:hint="eastAsia" w:ascii="Times New Roman" w:hAnsi="Times New Roman" w:eastAsia="仿宋_GB2312" w:cs="仿宋_GB2312"/>
          <w:color w:val="000000"/>
          <w:sz w:val="32"/>
          <w:szCs w:val="32"/>
          <w:lang w:val="en-US" w:eastAsia="zh-CN"/>
        </w:rPr>
        <w:t>2</w:t>
      </w:r>
      <w:r>
        <w:rPr>
          <w:rFonts w:hint="eastAsia" w:ascii="Times New Roman" w:hAnsi="Times New Roman" w:eastAsia="仿宋_GB2312" w:cs="仿宋_GB2312"/>
          <w:sz w:val="32"/>
          <w:szCs w:val="32"/>
        </w:rPr>
        <w:t>〕</w:t>
      </w:r>
      <w:r>
        <w:rPr>
          <w:rFonts w:hint="default" w:ascii="Times New Roman" w:hAnsi="Times New Roman" w:eastAsia="仿宋_GB2312" w:cs="Times New Roman"/>
          <w:color w:val="000000"/>
          <w:sz w:val="32"/>
          <w:szCs w:val="32"/>
          <w:lang w:val="en" w:eastAsia="zh-CN"/>
        </w:rPr>
        <w:t>2</w:t>
      </w:r>
      <w:r>
        <w:rPr>
          <w:rFonts w:hint="eastAsia" w:ascii="Times New Roman" w:hAnsi="Times New Roman" w:eastAsia="仿宋_GB2312" w:cs="仿宋_GB2312"/>
          <w:sz w:val="32"/>
          <w:szCs w:val="32"/>
          <w:lang w:eastAsia="zh-CN"/>
        </w:rPr>
        <w:t>号</w:t>
      </w:r>
    </w:p>
    <w:p>
      <w:pPr>
        <w:spacing w:line="600" w:lineRule="exact"/>
        <w:rPr>
          <w:rFonts w:ascii="仿宋_GB2312" w:eastAsia="仿宋_GB2312"/>
          <w:sz w:val="32"/>
        </w:rPr>
      </w:pPr>
    </w:p>
    <w:p>
      <w:pPr>
        <w:spacing w:line="600" w:lineRule="exact"/>
        <w:rPr>
          <w:rFonts w:eastAsia="仿宋_GB2312"/>
          <w:sz w:val="34"/>
          <w:szCs w:val="34"/>
        </w:rPr>
      </w:pPr>
      <w:r>
        <w:rPr>
          <w:rFonts w:hint="eastAsia" w:ascii="Times New Roman" w:hAnsi="Times New Roman" w:eastAsia="仿宋_GB2312" w:cs="仿宋_GB2312"/>
          <w:sz w:val="34"/>
          <w:szCs w:val="34"/>
          <w:lang w:eastAsia="zh-CN"/>
        </w:rPr>
        <w:t>区级各主管预算部门、各街镇（园区）、各开发区财政局</w:t>
      </w:r>
      <w:r>
        <w:rPr>
          <w:rFonts w:eastAsia="仿宋_GB2312"/>
          <w:sz w:val="34"/>
          <w:szCs w:val="34"/>
        </w:rPr>
        <w:t>：</w:t>
      </w:r>
    </w:p>
    <w:p>
      <w:pPr>
        <w:spacing w:line="600" w:lineRule="exact"/>
        <w:ind w:firstLine="640"/>
        <w:jc w:val="both"/>
        <w:rPr>
          <w:rFonts w:eastAsia="仿宋_GB2312"/>
          <w:color w:val="000000"/>
          <w:sz w:val="34"/>
          <w:szCs w:val="34"/>
        </w:rPr>
      </w:pPr>
      <w:r>
        <w:rPr>
          <w:rFonts w:eastAsia="仿宋_GB2312"/>
          <w:color w:val="000000"/>
          <w:sz w:val="34"/>
          <w:szCs w:val="34"/>
        </w:rPr>
        <w:t>按照《天津市财政局天津市工业和信息化局关于贯彻落实&lt;政府采购促进中小企业发展管理办法&gt;的通知》（津财采〔2021〕12号，以下简称《通知》）要求，现就做好政府采购促进中小企业发展政策落实情况（以下简称政策落实情况）报告和公开工作通知如下。</w:t>
      </w:r>
    </w:p>
    <w:p>
      <w:pPr>
        <w:spacing w:line="600" w:lineRule="exact"/>
        <w:ind w:firstLine="680" w:firstLineChars="200"/>
        <w:jc w:val="both"/>
        <w:rPr>
          <w:rFonts w:eastAsia="黑体"/>
          <w:color w:val="000000"/>
          <w:sz w:val="34"/>
          <w:szCs w:val="34"/>
        </w:rPr>
      </w:pPr>
      <w:r>
        <w:rPr>
          <w:rFonts w:eastAsia="黑体"/>
          <w:color w:val="000000"/>
          <w:sz w:val="34"/>
          <w:szCs w:val="34"/>
        </w:rPr>
        <w:t>一、报告工作要求</w:t>
      </w:r>
    </w:p>
    <w:p>
      <w:pPr>
        <w:spacing w:line="600" w:lineRule="exact"/>
        <w:ind w:firstLine="640"/>
        <w:jc w:val="both"/>
        <w:rPr>
          <w:rFonts w:hint="eastAsia" w:eastAsia="仿宋_GB2312"/>
          <w:color w:val="000000"/>
          <w:sz w:val="34"/>
          <w:szCs w:val="34"/>
          <w:lang w:eastAsia="zh-CN"/>
        </w:rPr>
      </w:pPr>
      <w:r>
        <w:rPr>
          <w:rFonts w:eastAsia="楷体_GB2312"/>
          <w:color w:val="000000"/>
          <w:sz w:val="34"/>
          <w:szCs w:val="34"/>
        </w:rPr>
        <w:t>（一）报告主体。</w:t>
      </w:r>
      <w:r>
        <w:rPr>
          <w:rFonts w:hint="eastAsia" w:eastAsia="仿宋_GB2312"/>
          <w:color w:val="000000"/>
          <w:sz w:val="34"/>
          <w:szCs w:val="34"/>
          <w:lang w:eastAsia="zh-CN"/>
        </w:rPr>
        <w:t>区级各主管预算部门、各街镇（园区）、各开发区财政局负责向区财政部门报告本部门、本街镇（园区）、本开发区</w:t>
      </w:r>
      <w:r>
        <w:rPr>
          <w:rFonts w:eastAsia="仿宋_GB2312"/>
          <w:color w:val="000000"/>
          <w:sz w:val="34"/>
          <w:szCs w:val="34"/>
        </w:rPr>
        <w:t>政策落实情况</w:t>
      </w:r>
      <w:r>
        <w:rPr>
          <w:rFonts w:hint="eastAsia" w:eastAsia="仿宋_GB2312"/>
          <w:color w:val="000000"/>
          <w:sz w:val="34"/>
          <w:szCs w:val="34"/>
          <w:lang w:eastAsia="zh-CN"/>
        </w:rPr>
        <w:t>。</w:t>
      </w:r>
    </w:p>
    <w:p>
      <w:pPr>
        <w:spacing w:line="600" w:lineRule="exact"/>
        <w:ind w:firstLine="640"/>
        <w:jc w:val="both"/>
        <w:rPr>
          <w:rFonts w:eastAsia="楷体_GB2312"/>
          <w:color w:val="000000"/>
          <w:sz w:val="34"/>
          <w:szCs w:val="34"/>
        </w:rPr>
      </w:pPr>
      <w:r>
        <w:rPr>
          <w:rFonts w:eastAsia="楷体_GB2312"/>
          <w:color w:val="000000"/>
          <w:sz w:val="34"/>
          <w:szCs w:val="34"/>
        </w:rPr>
        <w:t>（二）报告内容。</w:t>
      </w:r>
      <w:r>
        <w:rPr>
          <w:rFonts w:hint="eastAsia" w:eastAsia="仿宋_GB2312"/>
          <w:color w:val="000000"/>
          <w:sz w:val="34"/>
          <w:szCs w:val="34"/>
          <w:lang w:eastAsia="zh-CN"/>
        </w:rPr>
        <w:t>区级各主管预算部门、各街镇（园区）、各开发区财政局上一年度政策落实情况，主要包括：</w:t>
      </w:r>
    </w:p>
    <w:p>
      <w:pPr>
        <w:spacing w:line="600" w:lineRule="exact"/>
        <w:ind w:firstLine="640"/>
        <w:jc w:val="both"/>
        <w:rPr>
          <w:rFonts w:eastAsia="仿宋_GB2312"/>
          <w:color w:val="000000"/>
          <w:sz w:val="34"/>
          <w:szCs w:val="34"/>
        </w:rPr>
      </w:pPr>
      <w:r>
        <w:rPr>
          <w:rFonts w:eastAsia="仿宋_GB2312"/>
          <w:color w:val="000000"/>
          <w:sz w:val="34"/>
          <w:szCs w:val="34"/>
        </w:rPr>
        <w:t>1</w:t>
      </w:r>
      <w:r>
        <w:rPr>
          <w:rFonts w:eastAsia="仿宋_GB2312"/>
          <w:color w:val="000000"/>
          <w:sz w:val="34"/>
          <w:szCs w:val="34"/>
          <w:lang w:val="en"/>
        </w:rPr>
        <w:t>.</w:t>
      </w:r>
      <w:r>
        <w:rPr>
          <w:rFonts w:eastAsia="仿宋_GB2312"/>
          <w:color w:val="000000"/>
          <w:sz w:val="34"/>
          <w:szCs w:val="34"/>
        </w:rPr>
        <w:t>需求调研论证情况。对政府采购项目是否适宜由中小企业提供开展的需求调查或论证的总体情况。</w:t>
      </w:r>
    </w:p>
    <w:p>
      <w:pPr>
        <w:spacing w:line="600" w:lineRule="exact"/>
        <w:ind w:firstLine="640"/>
        <w:jc w:val="both"/>
        <w:rPr>
          <w:rFonts w:eastAsia="仿宋_GB2312"/>
          <w:color w:val="000000"/>
          <w:sz w:val="34"/>
          <w:szCs w:val="34"/>
        </w:rPr>
      </w:pPr>
      <w:r>
        <w:rPr>
          <w:rFonts w:eastAsia="仿宋_GB2312"/>
          <w:color w:val="000000"/>
          <w:sz w:val="34"/>
          <w:szCs w:val="34"/>
        </w:rPr>
        <w:t>2</w:t>
      </w:r>
      <w:r>
        <w:rPr>
          <w:rFonts w:eastAsia="仿宋_GB2312"/>
          <w:color w:val="000000"/>
          <w:sz w:val="34"/>
          <w:szCs w:val="34"/>
          <w:lang w:val="en"/>
        </w:rPr>
        <w:t>.</w:t>
      </w:r>
      <w:r>
        <w:rPr>
          <w:rFonts w:eastAsia="仿宋_GB2312"/>
          <w:color w:val="000000"/>
          <w:sz w:val="34"/>
          <w:szCs w:val="34"/>
        </w:rPr>
        <w:t>采购份额预留情况。</w:t>
      </w:r>
      <w:r>
        <w:rPr>
          <w:rFonts w:hint="eastAsia" w:eastAsia="仿宋_GB2312"/>
          <w:color w:val="000000"/>
          <w:sz w:val="34"/>
          <w:szCs w:val="34"/>
        </w:rPr>
        <w:t>（1）</w:t>
      </w:r>
      <w:r>
        <w:rPr>
          <w:rFonts w:eastAsia="仿宋_GB2312"/>
          <w:color w:val="000000"/>
          <w:sz w:val="34"/>
          <w:szCs w:val="34"/>
        </w:rPr>
        <w:t>适宜由中小企业提供的200万元以下的货物和服务项目、400万元以下的工程项目政府采购预算金额；</w:t>
      </w:r>
      <w:r>
        <w:rPr>
          <w:rFonts w:hint="eastAsia" w:eastAsia="仿宋_GB2312"/>
          <w:color w:val="000000"/>
          <w:sz w:val="34"/>
          <w:szCs w:val="34"/>
        </w:rPr>
        <w:t>（2）</w:t>
      </w:r>
      <w:r>
        <w:rPr>
          <w:rFonts w:eastAsia="仿宋_GB2312"/>
          <w:color w:val="000000"/>
          <w:sz w:val="34"/>
          <w:szCs w:val="34"/>
        </w:rPr>
        <w:t>超过200万元的货物和服务项目、超过400万元的工程项目中，适宜由中小企业提供的政府采购预算金额，该部分政府采购预算中专门面向中小企业采购的预留份额及所占比例，以及专门面向小微企业采购的预留份额及占面向中小企业采购预留份额的比例。</w:t>
      </w:r>
    </w:p>
    <w:p>
      <w:pPr>
        <w:spacing w:line="600" w:lineRule="exact"/>
        <w:ind w:firstLine="640"/>
        <w:jc w:val="both"/>
        <w:rPr>
          <w:rFonts w:eastAsia="仿宋_GB2312"/>
          <w:color w:val="000000"/>
          <w:sz w:val="34"/>
          <w:szCs w:val="34"/>
        </w:rPr>
      </w:pPr>
      <w:r>
        <w:rPr>
          <w:rFonts w:eastAsia="仿宋_GB2312"/>
          <w:color w:val="000000"/>
          <w:sz w:val="34"/>
          <w:szCs w:val="34"/>
        </w:rPr>
        <w:t>3.优惠政策落实情况</w:t>
      </w:r>
      <w:r>
        <w:rPr>
          <w:rFonts w:eastAsia="仿宋_GB2312"/>
          <w:sz w:val="34"/>
          <w:szCs w:val="34"/>
        </w:rPr>
        <w:t>。</w:t>
      </w:r>
      <w:r>
        <w:rPr>
          <w:rFonts w:hint="eastAsia" w:eastAsia="仿宋_GB2312"/>
          <w:color w:val="000000"/>
          <w:sz w:val="34"/>
          <w:szCs w:val="34"/>
        </w:rPr>
        <w:t>（1）</w:t>
      </w:r>
      <w:r>
        <w:rPr>
          <w:rFonts w:eastAsia="仿宋_GB2312"/>
          <w:color w:val="000000"/>
          <w:sz w:val="34"/>
          <w:szCs w:val="34"/>
        </w:rPr>
        <w:t>适宜由中小企业提供的200万元以下的货物和服务项目、400万元以下的工程项目专门面向中小企业采购情况；</w:t>
      </w:r>
      <w:r>
        <w:rPr>
          <w:rFonts w:hint="eastAsia" w:eastAsia="仿宋_GB2312"/>
          <w:color w:val="000000"/>
          <w:sz w:val="34"/>
          <w:szCs w:val="34"/>
        </w:rPr>
        <w:t>（2）</w:t>
      </w:r>
      <w:r>
        <w:rPr>
          <w:rFonts w:eastAsia="仿宋_GB2312"/>
          <w:color w:val="000000"/>
          <w:sz w:val="34"/>
          <w:szCs w:val="34"/>
        </w:rPr>
        <w:t>超过200万元的货物和服务项目、超过400万元的工程项目，适宜由中小企业提供的，专门</w:t>
      </w:r>
      <w:r>
        <w:rPr>
          <w:rFonts w:eastAsia="仿宋_GB2312"/>
          <w:sz w:val="34"/>
          <w:szCs w:val="34"/>
        </w:rPr>
        <w:t>面向中小企业、小微企业预留份额执行情况；</w:t>
      </w:r>
      <w:r>
        <w:rPr>
          <w:rFonts w:hint="eastAsia" w:eastAsia="仿宋_GB2312"/>
          <w:color w:val="000000"/>
          <w:sz w:val="34"/>
          <w:szCs w:val="34"/>
        </w:rPr>
        <w:t>（3）</w:t>
      </w:r>
      <w:r>
        <w:rPr>
          <w:rFonts w:eastAsia="仿宋_GB2312"/>
          <w:sz w:val="34"/>
          <w:szCs w:val="34"/>
        </w:rPr>
        <w:t>非面向中小企业采购项目或采购包执行价格扣除（加分）情况，尤其是按照</w:t>
      </w:r>
      <w:r>
        <w:rPr>
          <w:rFonts w:eastAsia="仿宋_GB2312"/>
          <w:color w:val="000000"/>
          <w:sz w:val="34"/>
          <w:szCs w:val="34"/>
        </w:rPr>
        <w:t>《通知》要求执行价格评审优惠上限的情况等。</w:t>
      </w:r>
    </w:p>
    <w:p>
      <w:pPr>
        <w:spacing w:line="600" w:lineRule="exact"/>
        <w:ind w:firstLine="640"/>
        <w:jc w:val="both"/>
        <w:rPr>
          <w:rFonts w:eastAsia="仿宋_GB2312"/>
          <w:color w:val="000000"/>
          <w:sz w:val="34"/>
          <w:szCs w:val="34"/>
        </w:rPr>
      </w:pPr>
      <w:r>
        <w:rPr>
          <w:rFonts w:eastAsia="仿宋_GB2312"/>
          <w:sz w:val="34"/>
          <w:szCs w:val="34"/>
        </w:rPr>
        <w:t>4</w:t>
      </w:r>
      <w:r>
        <w:rPr>
          <w:rFonts w:eastAsia="仿宋_GB2312"/>
          <w:color w:val="000000"/>
          <w:sz w:val="34"/>
          <w:szCs w:val="34"/>
        </w:rPr>
        <w:t>.其他有关情况。未达到《通知》规定的预留份额比例或者预留份额未执行完成的原因，未按要求予以价格扣除或价格加分的原因，未按规定情形予以上限执行优惠措施的原因，政策执行过程中存在的问题、意见建议以及各报告主体认为需要报告的其他情况等。</w:t>
      </w:r>
    </w:p>
    <w:p>
      <w:pPr>
        <w:spacing w:line="600" w:lineRule="exact"/>
        <w:ind w:firstLine="640"/>
        <w:jc w:val="both"/>
        <w:rPr>
          <w:rFonts w:eastAsia="仿宋_GB2312"/>
          <w:color w:val="000000"/>
          <w:sz w:val="34"/>
          <w:szCs w:val="34"/>
        </w:rPr>
      </w:pPr>
      <w:r>
        <w:rPr>
          <w:rFonts w:eastAsia="楷体_GB2312"/>
          <w:color w:val="000000"/>
          <w:sz w:val="34"/>
          <w:szCs w:val="34"/>
        </w:rPr>
        <w:t>（三）报告途径。</w:t>
      </w:r>
      <w:r>
        <w:rPr>
          <w:rFonts w:hint="eastAsia" w:eastAsia="仿宋_GB2312"/>
          <w:color w:val="000000"/>
          <w:sz w:val="34"/>
          <w:szCs w:val="34"/>
          <w:lang w:eastAsia="zh-CN"/>
        </w:rPr>
        <w:t>区级各主管预算部门、各街镇（园区）、各开发区财政局</w:t>
      </w:r>
      <w:r>
        <w:rPr>
          <w:rFonts w:eastAsia="仿宋_GB2312"/>
          <w:color w:val="000000"/>
          <w:sz w:val="34"/>
          <w:szCs w:val="34"/>
        </w:rPr>
        <w:t>在年度政府采购信息统计分析报告中，</w:t>
      </w:r>
      <w:r>
        <w:rPr>
          <w:rFonts w:hint="eastAsia" w:eastAsia="仿宋_GB2312"/>
          <w:color w:val="000000"/>
          <w:sz w:val="34"/>
          <w:szCs w:val="34"/>
          <w:lang w:eastAsia="zh-CN"/>
        </w:rPr>
        <w:t>应</w:t>
      </w:r>
      <w:r>
        <w:rPr>
          <w:rFonts w:eastAsia="仿宋_GB2312"/>
          <w:color w:val="000000"/>
          <w:sz w:val="34"/>
          <w:szCs w:val="34"/>
        </w:rPr>
        <w:t>列专题报告政府采购促进中小企业发展政策落实情况。其中，2021年度政策落实情况可单独报告。</w:t>
      </w:r>
    </w:p>
    <w:p>
      <w:pPr>
        <w:spacing w:line="600" w:lineRule="exact"/>
        <w:ind w:firstLine="640"/>
        <w:jc w:val="both"/>
        <w:rPr>
          <w:rFonts w:eastAsia="仿宋_GB2312"/>
          <w:color w:val="000000"/>
          <w:sz w:val="34"/>
          <w:szCs w:val="34"/>
        </w:rPr>
      </w:pPr>
      <w:r>
        <w:rPr>
          <w:rFonts w:eastAsia="楷体_GB2312"/>
          <w:color w:val="000000"/>
          <w:sz w:val="34"/>
          <w:szCs w:val="34"/>
        </w:rPr>
        <w:t>（四）报告时间。</w:t>
      </w:r>
      <w:r>
        <w:rPr>
          <w:rFonts w:eastAsia="仿宋_GB2312"/>
          <w:color w:val="000000"/>
          <w:sz w:val="34"/>
          <w:szCs w:val="34"/>
        </w:rPr>
        <w:t>政策落实情况报告的具体时间按照政府采购信息统计工作有关要求执行。其中，2021年度政策落实情况可于2022年</w:t>
      </w:r>
      <w:r>
        <w:rPr>
          <w:rFonts w:eastAsia="仿宋_GB2312"/>
          <w:color w:val="000000"/>
          <w:sz w:val="34"/>
          <w:szCs w:val="34"/>
          <w:lang w:val="en"/>
        </w:rPr>
        <w:t>3</w:t>
      </w:r>
      <w:r>
        <w:rPr>
          <w:rFonts w:eastAsia="仿宋_GB2312"/>
          <w:color w:val="000000"/>
          <w:sz w:val="34"/>
          <w:szCs w:val="34"/>
        </w:rPr>
        <w:t>月</w:t>
      </w:r>
      <w:r>
        <w:rPr>
          <w:rFonts w:hint="eastAsia" w:eastAsia="仿宋_GB2312"/>
          <w:color w:val="000000"/>
          <w:sz w:val="34"/>
          <w:szCs w:val="34"/>
          <w:lang w:val="en-US" w:eastAsia="zh-CN"/>
        </w:rPr>
        <w:t>12</w:t>
      </w:r>
      <w:r>
        <w:rPr>
          <w:rFonts w:eastAsia="仿宋_GB2312"/>
          <w:color w:val="000000"/>
          <w:sz w:val="34"/>
          <w:szCs w:val="34"/>
        </w:rPr>
        <w:t>日前报告。</w:t>
      </w:r>
    </w:p>
    <w:p>
      <w:pPr>
        <w:spacing w:line="600" w:lineRule="exact"/>
        <w:ind w:firstLine="680" w:firstLineChars="200"/>
        <w:jc w:val="both"/>
        <w:rPr>
          <w:rFonts w:eastAsia="黑体"/>
          <w:color w:val="000000"/>
          <w:sz w:val="34"/>
          <w:szCs w:val="34"/>
        </w:rPr>
      </w:pPr>
      <w:r>
        <w:rPr>
          <w:rFonts w:eastAsia="黑体"/>
          <w:color w:val="000000"/>
          <w:sz w:val="34"/>
          <w:szCs w:val="34"/>
        </w:rPr>
        <w:t>二、信息公开工作要求</w:t>
      </w:r>
    </w:p>
    <w:p>
      <w:pPr>
        <w:spacing w:line="600" w:lineRule="exact"/>
        <w:ind w:firstLine="640"/>
        <w:jc w:val="both"/>
        <w:rPr>
          <w:rFonts w:eastAsia="黑体"/>
          <w:color w:val="000000"/>
          <w:sz w:val="34"/>
          <w:szCs w:val="34"/>
        </w:rPr>
      </w:pPr>
      <w:r>
        <w:rPr>
          <w:rFonts w:eastAsia="楷体_GB2312"/>
          <w:color w:val="000000"/>
          <w:sz w:val="34"/>
          <w:szCs w:val="34"/>
        </w:rPr>
        <w:t>（一）公开主体。</w:t>
      </w:r>
      <w:r>
        <w:rPr>
          <w:rFonts w:eastAsia="仿宋_GB2312"/>
          <w:color w:val="000000"/>
          <w:sz w:val="34"/>
          <w:szCs w:val="34"/>
        </w:rPr>
        <w:t>政策落实情况的信息公开</w:t>
      </w:r>
      <w:r>
        <w:rPr>
          <w:rFonts w:hint="eastAsia" w:eastAsia="仿宋_GB2312"/>
          <w:color w:val="000000"/>
          <w:sz w:val="34"/>
          <w:szCs w:val="34"/>
          <w:lang w:eastAsia="zh-CN"/>
        </w:rPr>
        <w:t>主体</w:t>
      </w:r>
      <w:r>
        <w:rPr>
          <w:rFonts w:eastAsia="仿宋_GB2312"/>
          <w:color w:val="000000"/>
          <w:sz w:val="34"/>
          <w:szCs w:val="34"/>
        </w:rPr>
        <w:t>由</w:t>
      </w:r>
      <w:r>
        <w:rPr>
          <w:rFonts w:hint="eastAsia" w:eastAsia="仿宋_GB2312"/>
          <w:color w:val="000000"/>
          <w:sz w:val="34"/>
          <w:szCs w:val="34"/>
          <w:lang w:eastAsia="zh-CN"/>
        </w:rPr>
        <w:t>区级各主管预算部门、各街镇（园区）、各开发区所属预算部门负责</w:t>
      </w:r>
      <w:r>
        <w:rPr>
          <w:rFonts w:eastAsia="仿宋_GB2312"/>
          <w:color w:val="000000"/>
          <w:sz w:val="34"/>
          <w:szCs w:val="34"/>
        </w:rPr>
        <w:t>。</w:t>
      </w:r>
    </w:p>
    <w:p>
      <w:pPr>
        <w:spacing w:line="600" w:lineRule="exact"/>
        <w:ind w:firstLine="640"/>
        <w:jc w:val="both"/>
        <w:rPr>
          <w:rFonts w:eastAsia="黑体"/>
          <w:color w:val="000000"/>
          <w:sz w:val="34"/>
          <w:szCs w:val="34"/>
        </w:rPr>
      </w:pPr>
      <w:r>
        <w:rPr>
          <w:rFonts w:eastAsia="楷体_GB2312"/>
          <w:color w:val="000000"/>
          <w:sz w:val="34"/>
          <w:szCs w:val="34"/>
        </w:rPr>
        <w:t>（二）公开内容。</w:t>
      </w:r>
      <w:r>
        <w:rPr>
          <w:rFonts w:eastAsia="仿宋_GB2312"/>
          <w:color w:val="000000"/>
          <w:sz w:val="34"/>
          <w:szCs w:val="34"/>
        </w:rPr>
        <w:t>政策落实情况公开的内容为</w:t>
      </w:r>
      <w:r>
        <w:rPr>
          <w:rFonts w:hint="eastAsia" w:eastAsia="仿宋_GB2312"/>
          <w:color w:val="000000"/>
          <w:sz w:val="34"/>
          <w:szCs w:val="34"/>
          <w:lang w:eastAsia="zh-CN"/>
        </w:rPr>
        <w:t>本部门、本单位</w:t>
      </w:r>
      <w:r>
        <w:rPr>
          <w:rFonts w:eastAsia="仿宋_GB2312"/>
          <w:color w:val="000000"/>
          <w:sz w:val="34"/>
          <w:szCs w:val="34"/>
        </w:rPr>
        <w:t>上一年度面向中小企业预留份额和采购执行情况，具体内容以《面向中小企业预留项目执行情况公告（模板）》（见附件）为准。</w:t>
      </w:r>
    </w:p>
    <w:p>
      <w:pPr>
        <w:spacing w:line="600" w:lineRule="exact"/>
        <w:ind w:firstLine="640"/>
        <w:jc w:val="both"/>
        <w:rPr>
          <w:rFonts w:eastAsia="楷体_GB2312"/>
          <w:color w:val="000000"/>
          <w:sz w:val="34"/>
          <w:szCs w:val="34"/>
        </w:rPr>
      </w:pPr>
      <w:r>
        <w:rPr>
          <w:rFonts w:eastAsia="楷体_GB2312"/>
          <w:color w:val="000000"/>
          <w:sz w:val="34"/>
          <w:szCs w:val="34"/>
        </w:rPr>
        <w:t>（三）公开途径。</w:t>
      </w:r>
      <w:r>
        <w:rPr>
          <w:rFonts w:eastAsia="仿宋_GB2312"/>
          <w:color w:val="000000"/>
          <w:sz w:val="34"/>
          <w:szCs w:val="34"/>
        </w:rPr>
        <w:t>政策落实情况均通过中国政府采购网天津分网（天津市政府采购网）</w:t>
      </w:r>
      <w:r>
        <w:rPr>
          <w:rFonts w:hint="eastAsia" w:eastAsia="仿宋_GB2312"/>
          <w:color w:val="000000"/>
          <w:sz w:val="34"/>
          <w:szCs w:val="34"/>
          <w:lang w:eastAsia="zh-CN"/>
        </w:rPr>
        <w:t>“</w:t>
      </w:r>
      <w:r>
        <w:rPr>
          <w:rFonts w:eastAsia="仿宋_GB2312"/>
          <w:color w:val="000000"/>
          <w:sz w:val="34"/>
          <w:szCs w:val="34"/>
        </w:rPr>
        <w:t>定向支持</w:t>
      </w:r>
      <w:r>
        <w:rPr>
          <w:rFonts w:hint="eastAsia" w:eastAsia="仿宋_GB2312"/>
          <w:color w:val="000000"/>
          <w:sz w:val="34"/>
          <w:szCs w:val="34"/>
          <w:lang w:eastAsia="zh-CN"/>
        </w:rPr>
        <w:t>”</w:t>
      </w:r>
      <w:r>
        <w:rPr>
          <w:rFonts w:eastAsia="仿宋_GB2312"/>
          <w:color w:val="000000"/>
          <w:sz w:val="34"/>
          <w:szCs w:val="34"/>
        </w:rPr>
        <w:t>专栏公开，具体操作方法见《政府采购促进中小企业发展政策落实情况公开操作指南》（可从天津市政府采购网</w:t>
      </w:r>
      <w:r>
        <w:rPr>
          <w:rFonts w:hint="eastAsia" w:eastAsia="仿宋_GB2312"/>
          <w:color w:val="000000"/>
          <w:sz w:val="34"/>
          <w:szCs w:val="34"/>
        </w:rPr>
        <w:t>-</w:t>
      </w:r>
      <w:r>
        <w:rPr>
          <w:rFonts w:eastAsia="仿宋_GB2312"/>
          <w:color w:val="000000"/>
          <w:sz w:val="34"/>
          <w:szCs w:val="34"/>
        </w:rPr>
        <w:t>下载专区栏目下载）。</w:t>
      </w:r>
    </w:p>
    <w:p>
      <w:pPr>
        <w:spacing w:line="600" w:lineRule="exact"/>
        <w:ind w:firstLine="640"/>
        <w:jc w:val="both"/>
        <w:rPr>
          <w:rFonts w:eastAsia="仿宋_GB2312"/>
          <w:color w:val="000000"/>
          <w:sz w:val="34"/>
          <w:szCs w:val="34"/>
        </w:rPr>
      </w:pPr>
      <w:r>
        <w:rPr>
          <w:rFonts w:eastAsia="楷体_GB2312"/>
          <w:color w:val="000000"/>
          <w:sz w:val="34"/>
          <w:szCs w:val="34"/>
        </w:rPr>
        <w:t>（四）公开时间。</w:t>
      </w:r>
      <w:r>
        <w:rPr>
          <w:rFonts w:hint="eastAsia" w:eastAsia="仿宋_GB2312"/>
          <w:color w:val="000000"/>
          <w:sz w:val="34"/>
          <w:szCs w:val="34"/>
          <w:lang w:eastAsia="zh-CN"/>
        </w:rPr>
        <w:t>各单位</w:t>
      </w:r>
      <w:r>
        <w:rPr>
          <w:rFonts w:eastAsia="仿宋_GB2312"/>
          <w:color w:val="000000"/>
          <w:sz w:val="34"/>
          <w:szCs w:val="34"/>
        </w:rPr>
        <w:t>应于2022年</w:t>
      </w:r>
      <w:r>
        <w:rPr>
          <w:rFonts w:eastAsia="仿宋_GB2312"/>
          <w:color w:val="000000"/>
          <w:sz w:val="34"/>
          <w:szCs w:val="34"/>
          <w:lang w:val="en"/>
        </w:rPr>
        <w:t>3</w:t>
      </w:r>
      <w:r>
        <w:rPr>
          <w:rFonts w:eastAsia="仿宋_GB2312"/>
          <w:color w:val="000000"/>
          <w:sz w:val="34"/>
          <w:szCs w:val="34"/>
        </w:rPr>
        <w:t>月</w:t>
      </w:r>
      <w:r>
        <w:rPr>
          <w:rFonts w:eastAsia="仿宋_GB2312"/>
          <w:color w:val="000000"/>
          <w:sz w:val="34"/>
          <w:szCs w:val="34"/>
          <w:lang w:val="en"/>
        </w:rPr>
        <w:t>31</w:t>
      </w:r>
      <w:r>
        <w:rPr>
          <w:rFonts w:eastAsia="仿宋_GB2312"/>
          <w:color w:val="000000"/>
          <w:sz w:val="34"/>
          <w:szCs w:val="34"/>
        </w:rPr>
        <w:t>日前公开2021年度政策落实情况。</w:t>
      </w:r>
      <w:r>
        <w:rPr>
          <w:rFonts w:hint="eastAsia" w:eastAsia="仿宋_GB2312"/>
          <w:color w:val="000000"/>
          <w:sz w:val="34"/>
          <w:szCs w:val="34"/>
          <w:lang w:eastAsia="zh-CN"/>
        </w:rPr>
        <w:t>以后</w:t>
      </w:r>
      <w:r>
        <w:rPr>
          <w:rFonts w:eastAsia="仿宋_GB2312"/>
          <w:color w:val="000000"/>
          <w:sz w:val="34"/>
          <w:szCs w:val="34"/>
        </w:rPr>
        <w:t>每年1月31日前公开上一年度政策落实情况。</w:t>
      </w:r>
    </w:p>
    <w:p>
      <w:pPr>
        <w:spacing w:line="600" w:lineRule="exact"/>
        <w:ind w:firstLine="680" w:firstLineChars="200"/>
        <w:jc w:val="both"/>
        <w:rPr>
          <w:rFonts w:eastAsia="黑体"/>
          <w:color w:val="000000"/>
          <w:sz w:val="34"/>
          <w:szCs w:val="34"/>
        </w:rPr>
      </w:pPr>
      <w:r>
        <w:rPr>
          <w:rFonts w:eastAsia="黑体"/>
          <w:color w:val="000000"/>
          <w:sz w:val="34"/>
          <w:szCs w:val="34"/>
        </w:rPr>
        <w:t>三、有关要求</w:t>
      </w:r>
    </w:p>
    <w:p>
      <w:pPr>
        <w:spacing w:line="600" w:lineRule="exact"/>
        <w:ind w:firstLine="640"/>
        <w:jc w:val="both"/>
        <w:rPr>
          <w:rFonts w:eastAsia="仿宋_GB2312"/>
          <w:color w:val="000000"/>
          <w:sz w:val="34"/>
          <w:szCs w:val="34"/>
        </w:rPr>
      </w:pPr>
      <w:r>
        <w:rPr>
          <w:rFonts w:eastAsia="楷体_GB2312"/>
          <w:color w:val="000000"/>
          <w:sz w:val="34"/>
          <w:szCs w:val="34"/>
        </w:rPr>
        <w:t>（一）高度重视，认真组织。</w:t>
      </w:r>
      <w:r>
        <w:rPr>
          <w:rFonts w:eastAsia="仿宋_GB2312"/>
          <w:color w:val="000000"/>
          <w:sz w:val="34"/>
          <w:szCs w:val="34"/>
        </w:rPr>
        <w:t>报告和公开政策落实情况对发挥政府采购政策功能、优化</w:t>
      </w:r>
      <w:r>
        <w:rPr>
          <w:rFonts w:hint="eastAsia" w:eastAsia="仿宋_GB2312"/>
          <w:color w:val="000000"/>
          <w:sz w:val="34"/>
          <w:szCs w:val="34"/>
          <w:lang w:eastAsia="zh-CN"/>
        </w:rPr>
        <w:t>新区</w:t>
      </w:r>
      <w:r>
        <w:rPr>
          <w:rFonts w:eastAsia="仿宋_GB2312"/>
          <w:color w:val="000000"/>
          <w:sz w:val="34"/>
          <w:szCs w:val="34"/>
        </w:rPr>
        <w:t>营商环境具有重要意义。</w:t>
      </w:r>
      <w:r>
        <w:rPr>
          <w:rFonts w:hint="eastAsia" w:ascii="Times New Roman" w:hAnsi="Times New Roman" w:eastAsia="仿宋_GB2312" w:cs="仿宋_GB2312"/>
          <w:sz w:val="34"/>
          <w:szCs w:val="34"/>
          <w:lang w:eastAsia="zh-CN"/>
        </w:rPr>
        <w:t>各部门、各街镇（园区）、各开发区</w:t>
      </w:r>
      <w:r>
        <w:rPr>
          <w:rFonts w:eastAsia="仿宋_GB2312"/>
          <w:color w:val="000000"/>
          <w:sz w:val="34"/>
          <w:szCs w:val="34"/>
        </w:rPr>
        <w:t>要切实提高责任意识和担当精神，建立健全工作机制，督促指导所属预算单位在抓好政策落实的基础上，认真细致做好政策落实情况的报告和公开工作。</w:t>
      </w:r>
    </w:p>
    <w:p>
      <w:pPr>
        <w:spacing w:line="600" w:lineRule="exact"/>
        <w:ind w:firstLine="640"/>
        <w:jc w:val="both"/>
        <w:rPr>
          <w:rFonts w:eastAsia="楷体_GB2312"/>
          <w:color w:val="000000"/>
          <w:sz w:val="34"/>
          <w:szCs w:val="34"/>
        </w:rPr>
      </w:pPr>
      <w:r>
        <w:rPr>
          <w:rFonts w:eastAsia="楷体_GB2312"/>
          <w:color w:val="000000"/>
          <w:sz w:val="34"/>
          <w:szCs w:val="34"/>
        </w:rPr>
        <w:t>（二）统一口径，保证时效。</w:t>
      </w:r>
      <w:r>
        <w:rPr>
          <w:rFonts w:hint="eastAsia" w:ascii="Times New Roman" w:hAnsi="Times New Roman" w:eastAsia="仿宋_GB2312" w:cs="仿宋_GB2312"/>
          <w:sz w:val="34"/>
          <w:szCs w:val="34"/>
          <w:lang w:eastAsia="zh-CN"/>
        </w:rPr>
        <w:t>各部门、各街镇（园区）、各开发区</w:t>
      </w:r>
      <w:r>
        <w:rPr>
          <w:rFonts w:eastAsia="仿宋_GB2312"/>
          <w:color w:val="000000"/>
          <w:sz w:val="34"/>
          <w:szCs w:val="34"/>
        </w:rPr>
        <w:t>要准确把握政策落实情况报告、公开的有关要求和指标口径，尤其是要把适用招标投标法的政府采购工程建设项目政策落实情况纳入报告和公开范围，确保报告和公开内容完整、准确。要加强政策落实情况基础信息的整理和录入，严格在本通知规定的时限内完成报告和公开工作，保证工作时效，接受社会监督。</w:t>
      </w:r>
    </w:p>
    <w:p>
      <w:pPr>
        <w:spacing w:line="600" w:lineRule="exact"/>
        <w:ind w:firstLine="640"/>
        <w:jc w:val="both"/>
        <w:rPr>
          <w:rFonts w:eastAsia="仿宋_GB2312"/>
          <w:color w:val="000000"/>
          <w:sz w:val="34"/>
          <w:szCs w:val="34"/>
        </w:rPr>
      </w:pPr>
      <w:r>
        <w:rPr>
          <w:rFonts w:eastAsia="楷体_GB2312"/>
          <w:color w:val="000000"/>
          <w:sz w:val="34"/>
          <w:szCs w:val="34"/>
        </w:rPr>
        <w:t>（三）强化监管，压实责任。</w:t>
      </w:r>
      <w:r>
        <w:rPr>
          <w:rFonts w:eastAsia="仿宋_GB2312"/>
          <w:color w:val="000000"/>
          <w:sz w:val="34"/>
          <w:szCs w:val="34"/>
        </w:rPr>
        <w:t>政策落实情况公开工作已纳入财政部政府采购透明度评估重要评分因素，</w:t>
      </w:r>
      <w:r>
        <w:rPr>
          <w:rFonts w:hint="eastAsia" w:eastAsia="仿宋_GB2312"/>
          <w:color w:val="000000"/>
          <w:sz w:val="34"/>
          <w:szCs w:val="34"/>
          <w:lang w:eastAsia="zh-CN"/>
        </w:rPr>
        <w:t>财政部门</w:t>
      </w:r>
      <w:r>
        <w:rPr>
          <w:rFonts w:eastAsia="仿宋_GB2312"/>
          <w:color w:val="000000"/>
          <w:sz w:val="34"/>
          <w:szCs w:val="34"/>
        </w:rPr>
        <w:t>将通过调研督导、专项检查等方式，对报告和公开情况进行监督。对未按要求报告、公开或者报告、公开的相关情况、数据弄虚作假的，将依法依规予以处理。</w:t>
      </w:r>
      <w:r>
        <w:rPr>
          <w:rFonts w:hint="eastAsia" w:eastAsia="仿宋_GB2312"/>
          <w:color w:val="000000"/>
          <w:sz w:val="34"/>
          <w:szCs w:val="34"/>
          <w:lang w:eastAsia="zh-CN"/>
        </w:rPr>
        <w:t>新区</w:t>
      </w:r>
      <w:r>
        <w:rPr>
          <w:rFonts w:eastAsia="仿宋_GB2312"/>
          <w:color w:val="000000"/>
          <w:sz w:val="34"/>
          <w:szCs w:val="34"/>
        </w:rPr>
        <w:t>财政</w:t>
      </w:r>
      <w:r>
        <w:rPr>
          <w:rFonts w:hint="eastAsia" w:eastAsia="仿宋_GB2312"/>
          <w:color w:val="000000"/>
          <w:sz w:val="34"/>
          <w:szCs w:val="34"/>
          <w:lang w:eastAsia="zh-CN"/>
        </w:rPr>
        <w:t>局</w:t>
      </w:r>
      <w:r>
        <w:rPr>
          <w:rFonts w:eastAsia="仿宋_GB2312"/>
          <w:color w:val="000000"/>
          <w:sz w:val="34"/>
          <w:szCs w:val="34"/>
        </w:rPr>
        <w:t>将建立政策落实情况报告和公开工作通报制度，对各</w:t>
      </w:r>
      <w:r>
        <w:rPr>
          <w:rFonts w:hint="eastAsia" w:eastAsia="仿宋_GB2312"/>
          <w:color w:val="000000"/>
          <w:sz w:val="34"/>
          <w:szCs w:val="34"/>
          <w:lang w:eastAsia="zh-CN"/>
        </w:rPr>
        <w:t>单位</w:t>
      </w:r>
      <w:r>
        <w:rPr>
          <w:rFonts w:eastAsia="仿宋_GB2312"/>
          <w:color w:val="000000"/>
          <w:sz w:val="34"/>
          <w:szCs w:val="34"/>
        </w:rPr>
        <w:t>政策落实情况的报告和公开工作定期予以通报。</w:t>
      </w:r>
    </w:p>
    <w:p>
      <w:pPr>
        <w:spacing w:line="600" w:lineRule="exact"/>
        <w:ind w:firstLine="640"/>
        <w:jc w:val="both"/>
        <w:rPr>
          <w:rFonts w:eastAsia="仿宋_GB2312"/>
          <w:color w:val="000000"/>
          <w:sz w:val="34"/>
          <w:szCs w:val="34"/>
          <w:lang w:val="en"/>
        </w:rPr>
      </w:pPr>
      <w:r>
        <w:rPr>
          <w:rFonts w:hint="eastAsia" w:eastAsia="仿宋_GB2312"/>
          <w:color w:val="000000"/>
          <w:sz w:val="34"/>
          <w:szCs w:val="34"/>
        </w:rPr>
        <w:t>附件：</w:t>
      </w:r>
      <w:r>
        <w:rPr>
          <w:rFonts w:eastAsia="仿宋_GB2312"/>
          <w:color w:val="000000"/>
          <w:sz w:val="34"/>
          <w:szCs w:val="34"/>
        </w:rPr>
        <w:t>面向中小企业预留项目执行情况公告（模板）</w:t>
      </w:r>
      <w:bookmarkStart w:id="0" w:name="_GoBack"/>
      <w:bookmarkEnd w:id="0"/>
    </w:p>
    <w:p>
      <w:pPr>
        <w:spacing w:line="600" w:lineRule="exact"/>
        <w:ind w:firstLine="645"/>
        <w:rPr>
          <w:rFonts w:eastAsia="仿宋_GB2312"/>
          <w:sz w:val="34"/>
          <w:szCs w:val="34"/>
        </w:rPr>
      </w:pPr>
    </w:p>
    <w:p>
      <w:pPr>
        <w:spacing w:line="600" w:lineRule="exact"/>
        <w:ind w:firstLine="645"/>
        <w:rPr>
          <w:rFonts w:eastAsia="仿宋_GB2312"/>
          <w:sz w:val="34"/>
          <w:szCs w:val="34"/>
        </w:rPr>
      </w:pPr>
    </w:p>
    <w:p>
      <w:pPr>
        <w:spacing w:line="600" w:lineRule="exact"/>
        <w:ind w:firstLine="645"/>
        <w:rPr>
          <w:rFonts w:eastAsia="仿宋_GB2312"/>
          <w:sz w:val="34"/>
          <w:szCs w:val="34"/>
        </w:rPr>
      </w:pPr>
    </w:p>
    <w:p>
      <w:pPr>
        <w:spacing w:line="600" w:lineRule="exact"/>
        <w:ind w:right="640"/>
        <w:jc w:val="center"/>
        <w:rPr>
          <w:rFonts w:eastAsia="仿宋_GB2312"/>
          <w:sz w:val="34"/>
          <w:szCs w:val="34"/>
        </w:rPr>
      </w:pPr>
      <w:r>
        <w:rPr>
          <w:rFonts w:eastAsia="仿宋_GB2312"/>
          <w:sz w:val="34"/>
          <w:szCs w:val="34"/>
        </w:rPr>
        <w:t xml:space="preserve">                          202</w:t>
      </w:r>
      <w:r>
        <w:rPr>
          <w:rFonts w:eastAsia="仿宋_GB2312"/>
          <w:sz w:val="34"/>
          <w:szCs w:val="34"/>
          <w:lang w:val="en"/>
        </w:rPr>
        <w:t>1</w:t>
      </w:r>
      <w:r>
        <w:rPr>
          <w:rFonts w:eastAsia="仿宋_GB2312"/>
          <w:sz w:val="34"/>
          <w:szCs w:val="34"/>
        </w:rPr>
        <w:t>年</w:t>
      </w:r>
      <w:r>
        <w:rPr>
          <w:rFonts w:eastAsia="仿宋_GB2312"/>
          <w:sz w:val="34"/>
          <w:szCs w:val="34"/>
          <w:lang w:val="en"/>
        </w:rPr>
        <w:t>1</w:t>
      </w:r>
      <w:r>
        <w:rPr>
          <w:rFonts w:eastAsia="仿宋_GB2312"/>
          <w:sz w:val="34"/>
          <w:szCs w:val="34"/>
        </w:rPr>
        <w:t>月</w:t>
      </w:r>
      <w:r>
        <w:rPr>
          <w:rFonts w:hint="eastAsia" w:eastAsia="仿宋_GB2312"/>
          <w:sz w:val="34"/>
          <w:szCs w:val="34"/>
          <w:lang w:val="en-US" w:eastAsia="zh-CN"/>
        </w:rPr>
        <w:t>2</w:t>
      </w:r>
      <w:r>
        <w:rPr>
          <w:rFonts w:eastAsia="仿宋_GB2312"/>
          <w:sz w:val="34"/>
          <w:szCs w:val="34"/>
          <w:lang w:val="en"/>
        </w:rPr>
        <w:t>9</w:t>
      </w:r>
      <w:r>
        <w:rPr>
          <w:rFonts w:eastAsia="仿宋_GB2312"/>
          <w:sz w:val="34"/>
          <w:szCs w:val="34"/>
        </w:rPr>
        <w:t>日　　　　</w:t>
      </w:r>
    </w:p>
    <w:p>
      <w:pPr>
        <w:keepNext w:val="0"/>
        <w:keepLines w:val="0"/>
        <w:pageBreakBefore w:val="0"/>
        <w:widowControl w:val="0"/>
        <w:kinsoku/>
        <w:wordWrap/>
        <w:overflowPunct/>
        <w:topLinePunct w:val="0"/>
        <w:autoSpaceDE/>
        <w:autoSpaceDN/>
        <w:bidi w:val="0"/>
        <w:adjustRightInd w:val="0"/>
        <w:snapToGrid/>
        <w:spacing w:line="588" w:lineRule="exact"/>
        <w:jc w:val="both"/>
        <w:textAlignment w:val="baseline"/>
        <w:rPr>
          <w:rFonts w:hint="eastAsia" w:ascii="Times New Roman" w:hAnsi="Times New Roman" w:eastAsia="仿宋_GB2312" w:cs="仿宋_GB2312"/>
          <w:sz w:val="34"/>
          <w:szCs w:val="34"/>
          <w:lang w:val="en-US" w:eastAsia="zh-CN"/>
        </w:rPr>
      </w:pPr>
      <w:r>
        <w:rPr>
          <w:rFonts w:hint="eastAsia" w:ascii="Times New Roman" w:hAnsi="Times New Roman" w:eastAsia="仿宋_GB2312" w:cs="仿宋_GB2312"/>
          <w:sz w:val="34"/>
          <w:szCs w:val="34"/>
          <w:lang w:val="en-US" w:eastAsia="zh-CN"/>
        </w:rPr>
        <w:t xml:space="preserve"> </w:t>
      </w:r>
    </w:p>
    <w:p>
      <w:pPr>
        <w:pStyle w:val="2"/>
        <w:keepNext w:val="0"/>
        <w:keepLines w:val="0"/>
        <w:pageBreakBefore w:val="0"/>
        <w:widowControl w:val="0"/>
        <w:kinsoku/>
        <w:wordWrap/>
        <w:overflowPunct/>
        <w:topLinePunct w:val="0"/>
        <w:autoSpaceDE/>
        <w:autoSpaceDN/>
        <w:bidi w:val="0"/>
        <w:snapToGrid/>
        <w:spacing w:line="588" w:lineRule="exact"/>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napToGrid/>
        <w:spacing w:line="588" w:lineRule="exact"/>
        <w:rPr>
          <w:rFonts w:hint="eastAsia" w:ascii="Times New Roman" w:hAnsi="Times New Roman"/>
          <w:lang w:val="en-US" w:eastAsia="zh-CN"/>
        </w:rPr>
      </w:pPr>
    </w:p>
    <w:p>
      <w:pPr>
        <w:pStyle w:val="2"/>
        <w:keepNext w:val="0"/>
        <w:keepLines w:val="0"/>
        <w:pageBreakBefore w:val="0"/>
        <w:widowControl w:val="0"/>
        <w:kinsoku/>
        <w:wordWrap/>
        <w:overflowPunct/>
        <w:topLinePunct w:val="0"/>
        <w:autoSpaceDE/>
        <w:autoSpaceDN/>
        <w:bidi w:val="0"/>
        <w:snapToGrid/>
        <w:spacing w:line="588" w:lineRule="exact"/>
        <w:rPr>
          <w:rFonts w:hint="eastAsia" w:ascii="Times New Roman" w:hAnsi="Times New Roman"/>
          <w:lang w:val="en-US" w:eastAsia="zh-CN"/>
        </w:rPr>
      </w:pPr>
    </w:p>
    <w:p>
      <w:pPr>
        <w:pStyle w:val="2"/>
        <w:rPr>
          <w:rFonts w:hint="eastAsia" w:ascii="Times New Roman" w:hAnsi="Times New Roman" w:eastAsia="仿宋_GB2312" w:cs="仿宋_GB2312"/>
          <w:sz w:val="34"/>
          <w:szCs w:val="34"/>
          <w:lang w:val="en-US" w:eastAsia="zh-CN"/>
        </w:rPr>
      </w:pPr>
    </w:p>
    <w:p>
      <w:pPr>
        <w:pStyle w:val="2"/>
        <w:rPr>
          <w:rFonts w:hint="eastAsia" w:ascii="Times New Roman" w:hAnsi="Times New Roman" w:eastAsia="仿宋_GB2312" w:cs="仿宋_GB2312"/>
          <w:sz w:val="34"/>
          <w:szCs w:val="34"/>
          <w:lang w:val="en-US" w:eastAsia="zh-CN"/>
        </w:rPr>
      </w:pPr>
    </w:p>
    <w:sectPr>
      <w:footerReference r:id="rId3" w:type="default"/>
      <w:pgSz w:w="11906" w:h="16838"/>
      <w:pgMar w:top="2041" w:right="1559" w:bottom="1701" w:left="155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voMMX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HvoMMX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5DA5B"/>
    <w:rsid w:val="2B7F09B9"/>
    <w:rsid w:val="36AD8C8E"/>
    <w:rsid w:val="374FFA79"/>
    <w:rsid w:val="377D8D8C"/>
    <w:rsid w:val="37DF6433"/>
    <w:rsid w:val="39FFB7C0"/>
    <w:rsid w:val="3B73BEF9"/>
    <w:rsid w:val="3B7B1D3A"/>
    <w:rsid w:val="3BABEA01"/>
    <w:rsid w:val="3CFE7E17"/>
    <w:rsid w:val="3E7D5490"/>
    <w:rsid w:val="3EAB0813"/>
    <w:rsid w:val="3FAFC0E0"/>
    <w:rsid w:val="3FFF4F44"/>
    <w:rsid w:val="4EDA8AAD"/>
    <w:rsid w:val="4FEB4297"/>
    <w:rsid w:val="56F7A739"/>
    <w:rsid w:val="5BF11881"/>
    <w:rsid w:val="5EE569BE"/>
    <w:rsid w:val="5FB9B826"/>
    <w:rsid w:val="6747F58B"/>
    <w:rsid w:val="67CFAC84"/>
    <w:rsid w:val="6F230C4B"/>
    <w:rsid w:val="6FB727B3"/>
    <w:rsid w:val="6FBEE6D7"/>
    <w:rsid w:val="775909A8"/>
    <w:rsid w:val="7BCFE60E"/>
    <w:rsid w:val="7BEBA267"/>
    <w:rsid w:val="7D7A7DAF"/>
    <w:rsid w:val="7DEF1838"/>
    <w:rsid w:val="7F7F8C46"/>
    <w:rsid w:val="7F855422"/>
    <w:rsid w:val="7FBF30F4"/>
    <w:rsid w:val="7FDF87F2"/>
    <w:rsid w:val="7FF61F5F"/>
    <w:rsid w:val="7FFDB5E8"/>
    <w:rsid w:val="85DFBA9A"/>
    <w:rsid w:val="8FEEF889"/>
    <w:rsid w:val="97FF70EB"/>
    <w:rsid w:val="9D1EB7C7"/>
    <w:rsid w:val="9FB79F4B"/>
    <w:rsid w:val="A6ED6C70"/>
    <w:rsid w:val="ABFDDBC3"/>
    <w:rsid w:val="AEEF7693"/>
    <w:rsid w:val="AFDE90D6"/>
    <w:rsid w:val="B37F1D38"/>
    <w:rsid w:val="BEFDCD31"/>
    <w:rsid w:val="BF7F95A0"/>
    <w:rsid w:val="BFE92C26"/>
    <w:rsid w:val="CB7FE02B"/>
    <w:rsid w:val="CFFDD0F2"/>
    <w:rsid w:val="DC9F969C"/>
    <w:rsid w:val="DEFD1CB5"/>
    <w:rsid w:val="DF7FCD1B"/>
    <w:rsid w:val="DFFF2570"/>
    <w:rsid w:val="DFFF510E"/>
    <w:rsid w:val="EEFF544B"/>
    <w:rsid w:val="EFCC716C"/>
    <w:rsid w:val="F3FF4683"/>
    <w:rsid w:val="F77FA68B"/>
    <w:rsid w:val="F7A50CBD"/>
    <w:rsid w:val="F7BC436E"/>
    <w:rsid w:val="FC7F8927"/>
    <w:rsid w:val="FECD65FF"/>
    <w:rsid w:val="FEDA0610"/>
    <w:rsid w:val="FFA255A6"/>
    <w:rsid w:val="FFBD4177"/>
    <w:rsid w:val="FFBFC9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2014-11-12T04:08:00Z</dcterms:created>
  <dc:creator>Administrator</dc:creator>
  <cp:lastModifiedBy>魏晓迪</cp:lastModifiedBy>
  <dcterms:modified xsi:type="dcterms:W3CDTF">2022-10-31T11:19:24Z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