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899503" w14:textId="5D5631CC" w:rsidR="005E233C" w:rsidRDefault="00B44FE2" w:rsidP="00B44FE2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B44FE2">
        <w:rPr>
          <w:rFonts w:ascii="方正小标宋简体" w:eastAsia="方正小标宋简体" w:hint="eastAsia"/>
          <w:sz w:val="44"/>
          <w:szCs w:val="44"/>
        </w:rPr>
        <w:t>2021年转移支付情况的说明</w:t>
      </w:r>
    </w:p>
    <w:p w14:paraId="78AF7A2A" w14:textId="77777777" w:rsidR="00E50030" w:rsidRDefault="00E50030" w:rsidP="00B44FE2">
      <w:pPr>
        <w:jc w:val="center"/>
        <w:rPr>
          <w:rFonts w:ascii="方正小标宋简体" w:eastAsia="方正小标宋简体" w:hint="eastAsia"/>
          <w:sz w:val="44"/>
          <w:szCs w:val="44"/>
        </w:rPr>
      </w:pPr>
    </w:p>
    <w:p w14:paraId="7EEE8B40" w14:textId="6E83B52A" w:rsidR="00E50030" w:rsidRPr="00E50030" w:rsidRDefault="00E50030" w:rsidP="00E50030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bookmarkStart w:id="0" w:name="_GoBack"/>
      <w:r>
        <w:rPr>
          <w:rFonts w:ascii="仿宋_GB2312" w:eastAsia="仿宋_GB2312" w:hint="eastAsia"/>
          <w:sz w:val="32"/>
          <w:szCs w:val="32"/>
        </w:rPr>
        <w:t>2021年预算安排对开发区转移支付70.3亿元，其中税收返还36亿元，一般性转移支付34.1亿元，其他专项转移支付0.2亿元。</w:t>
      </w:r>
      <w:bookmarkEnd w:id="0"/>
    </w:p>
    <w:sectPr w:rsidR="00E50030" w:rsidRPr="00E500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EEF"/>
    <w:rsid w:val="001B22DB"/>
    <w:rsid w:val="00263EEF"/>
    <w:rsid w:val="007521C6"/>
    <w:rsid w:val="00B44FE2"/>
    <w:rsid w:val="00E5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2DA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shuang xu</dc:creator>
  <cp:keywords/>
  <dc:description/>
  <cp:lastModifiedBy>梁宣健</cp:lastModifiedBy>
  <cp:revision>3</cp:revision>
  <dcterms:created xsi:type="dcterms:W3CDTF">2022-08-31T09:57:00Z</dcterms:created>
  <dcterms:modified xsi:type="dcterms:W3CDTF">2022-09-06T08:26:00Z</dcterms:modified>
</cp:coreProperties>
</file>