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000000"/>
          <w:spacing w:val="0"/>
          <w:sz w:val="25"/>
          <w:szCs w:val="25"/>
          <w:bdr w:val="none" w:color="auto" w:sz="0" w:space="0"/>
          <w:shd w:val="clear" w:fill="FFFFFF"/>
        </w:rPr>
        <w:t>津财规〔</w:t>
      </w:r>
      <w:r>
        <w:rPr>
          <w:rFonts w:hint="default" w:ascii="Times New Roman" w:hAnsi="Times New Roman" w:eastAsia="仿宋_GB2312" w:cs="Times New Roman"/>
          <w:i w:val="0"/>
          <w:iCs w:val="0"/>
          <w:caps w:val="0"/>
          <w:color w:val="000000"/>
          <w:spacing w:val="0"/>
          <w:sz w:val="25"/>
          <w:szCs w:val="25"/>
          <w:bdr w:val="none" w:color="auto" w:sz="0" w:space="0"/>
          <w:shd w:val="clear" w:fill="FFFFFF"/>
        </w:rPr>
        <w:t>2023</w:t>
      </w:r>
      <w:r>
        <w:rPr>
          <w:rFonts w:hint="default" w:ascii="仿宋_GB2312"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仿宋_GB2312" w:cs="Times New Roman"/>
          <w:i w:val="0"/>
          <w:iCs w:val="0"/>
          <w:caps w:val="0"/>
          <w:color w:val="000000"/>
          <w:spacing w:val="0"/>
          <w:sz w:val="25"/>
          <w:szCs w:val="25"/>
          <w:bdr w:val="none" w:color="auto" w:sz="0" w:space="0"/>
          <w:shd w:val="clear" w:fill="FFFFFF"/>
        </w:rPr>
        <w:t>5</w:t>
      </w:r>
      <w:r>
        <w:rPr>
          <w:rFonts w:hint="default" w:ascii="仿宋_GB2312" w:eastAsia="仿宋_GB2312" w:cs="仿宋_GB2312"/>
          <w:i w:val="0"/>
          <w:iCs w:val="0"/>
          <w:caps w:val="0"/>
          <w:color w:val="000000"/>
          <w:spacing w:val="0"/>
          <w:sz w:val="25"/>
          <w:szCs w:val="25"/>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仿宋_GB2312" w:eastAsia="仿宋_GB2312" w:cs="仿宋_GB2312"/>
          <w:i w:val="0"/>
          <w:iCs w:val="0"/>
          <w:caps w:val="0"/>
          <w:color w:val="3D3D3D"/>
          <w:spacing w:val="0"/>
          <w:sz w:val="25"/>
          <w:szCs w:val="25"/>
        </w:rPr>
      </w:pPr>
      <w:bookmarkStart w:id="2" w:name="_GoBack"/>
      <w:r>
        <w:rPr>
          <w:rFonts w:ascii="方正小标宋简体" w:hAnsi="方正小标宋简体" w:eastAsia="方正小标宋简体" w:cs="方正小标宋简体"/>
          <w:i w:val="0"/>
          <w:iCs w:val="0"/>
          <w:caps w:val="0"/>
          <w:color w:val="000000"/>
          <w:spacing w:val="0"/>
          <w:sz w:val="34"/>
          <w:szCs w:val="34"/>
          <w:bdr w:val="none" w:color="auto" w:sz="0" w:space="0"/>
          <w:shd w:val="clear" w:fill="FFFFFF"/>
        </w:rPr>
        <w:t>天津市财政局 天津市规划和自然资源局关于印发《天津市中央财政林业草原生态保护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仿宋_GB2312" w:eastAsia="仿宋_GB2312" w:cs="仿宋_GB2312"/>
          <w:i w:val="0"/>
          <w:iCs w:val="0"/>
          <w:caps w:val="0"/>
          <w:color w:val="3D3D3D"/>
          <w:spacing w:val="0"/>
          <w:sz w:val="25"/>
          <w:szCs w:val="25"/>
        </w:rPr>
      </w:pPr>
      <w:r>
        <w:rPr>
          <w:rFonts w:hint="eastAsia" w:ascii="方正小标宋简体" w:hAnsi="方正小标宋简体" w:eastAsia="方正小标宋简体" w:cs="方正小标宋简体"/>
          <w:i w:val="0"/>
          <w:iCs w:val="0"/>
          <w:caps w:val="0"/>
          <w:color w:val="000000"/>
          <w:spacing w:val="0"/>
          <w:sz w:val="34"/>
          <w:szCs w:val="34"/>
          <w:bdr w:val="none" w:color="auto" w:sz="0" w:space="0"/>
          <w:shd w:val="clear" w:fill="FFFFFF"/>
        </w:rPr>
        <w:t>恢复资金管理实施办法》的通知</w:t>
      </w:r>
      <w:bookmarkEnd w:id="2"/>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6" w:lineRule="atLeast"/>
        <w:ind w:left="0" w:right="0" w:firstLine="0"/>
        <w:jc w:val="both"/>
        <w:rPr>
          <w:rFonts w:hint="default" w:ascii="仿宋_GB2312" w:eastAsia="仿宋_GB2312" w:cs="仿宋_GB2312"/>
          <w:i w:val="0"/>
          <w:iCs w:val="0"/>
          <w:caps w:val="0"/>
          <w:color w:val="3D3D3D"/>
          <w:spacing w:val="0"/>
          <w:sz w:val="25"/>
          <w:szCs w:val="25"/>
        </w:rPr>
      </w:pPr>
      <w:bookmarkStart w:id="0" w:name="send_to"/>
      <w:bookmarkEnd w:id="0"/>
      <w:r>
        <w:rPr>
          <w:rFonts w:hint="default" w:ascii="仿宋_GB2312" w:eastAsia="仿宋_GB2312" w:cs="仿宋_GB2312"/>
          <w:i w:val="0"/>
          <w:iCs w:val="0"/>
          <w:caps w:val="0"/>
          <w:color w:val="3D3D3D"/>
          <w:spacing w:val="0"/>
          <w:sz w:val="25"/>
          <w:szCs w:val="25"/>
          <w:bdr w:val="none" w:color="auto" w:sz="0" w:space="0"/>
          <w:shd w:val="clear" w:fill="FFFFFF"/>
        </w:rPr>
        <w:t>有林业的区财政局，区林业主管部门，各有关单位：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6"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为加强和规范林业草原生态保护恢复资金使用管理，提高资金使用效益，促进我市林业草原生态保护恢复，根据《中华人民共和国预算法》等法律法规和《财政部 国家林草局关于印发</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&lt;</w:t>
      </w:r>
      <w:r>
        <w:rPr>
          <w:rFonts w:hint="default" w:ascii="仿宋_GB2312" w:eastAsia="仿宋_GB2312" w:cs="仿宋_GB2312"/>
          <w:i w:val="0"/>
          <w:iCs w:val="0"/>
          <w:caps w:val="0"/>
          <w:color w:val="3D3D3D"/>
          <w:spacing w:val="0"/>
          <w:sz w:val="25"/>
          <w:szCs w:val="25"/>
          <w:bdr w:val="none" w:color="auto" w:sz="0" w:space="0"/>
          <w:shd w:val="clear" w:fill="FFFFFF"/>
        </w:rPr>
        <w:t>林业草原生态保护恢复资金管理办法</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&gt;</w:t>
      </w:r>
      <w:r>
        <w:rPr>
          <w:rFonts w:hint="default" w:ascii="仿宋_GB2312" w:eastAsia="仿宋_GB2312" w:cs="仿宋_GB2312"/>
          <w:i w:val="0"/>
          <w:iCs w:val="0"/>
          <w:caps w:val="0"/>
          <w:color w:val="3D3D3D"/>
          <w:spacing w:val="0"/>
          <w:sz w:val="25"/>
          <w:szCs w:val="25"/>
          <w:bdr w:val="none" w:color="auto" w:sz="0" w:space="0"/>
          <w:shd w:val="clear" w:fill="FFFFFF"/>
        </w:rPr>
        <w:t>的通知》（财资环〔</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2022</w:t>
      </w:r>
      <w:r>
        <w:rPr>
          <w:rFonts w:hint="default" w:ascii="仿宋_GB2312" w:eastAsia="仿宋_GB2312" w:cs="仿宋_GB2312"/>
          <w:i w:val="0"/>
          <w:iCs w:val="0"/>
          <w:caps w:val="0"/>
          <w:color w:val="3D3D3D"/>
          <w:spacing w:val="0"/>
          <w:sz w:val="25"/>
          <w:szCs w:val="25"/>
          <w:bdr w:val="none" w:color="auto" w:sz="0" w:space="0"/>
          <w:shd w:val="clear" w:fill="FFFFFF"/>
        </w:rPr>
        <w:t>〕</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170</w:t>
      </w:r>
      <w:r>
        <w:rPr>
          <w:rFonts w:hint="default" w:ascii="仿宋_GB2312" w:eastAsia="仿宋_GB2312" w:cs="仿宋_GB2312"/>
          <w:i w:val="0"/>
          <w:iCs w:val="0"/>
          <w:caps w:val="0"/>
          <w:color w:val="3D3D3D"/>
          <w:spacing w:val="0"/>
          <w:sz w:val="25"/>
          <w:szCs w:val="25"/>
          <w:bdr w:val="none" w:color="auto" w:sz="0" w:space="0"/>
          <w:shd w:val="clear" w:fill="FFFFFF"/>
        </w:rPr>
        <w:t>号），我们制定了《天津市中央财政林业草原生态保护恢复资金管理实施办法》，现印发给你们，请遵照执行。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r>
        <w:rPr>
          <w:rFonts w:hint="default" w:ascii="仿宋_GB2312" w:eastAsia="仿宋_GB2312" w:cs="仿宋_GB2312"/>
          <w:i w:val="0"/>
          <w:iCs w:val="0"/>
          <w:caps w:val="0"/>
          <w:color w:val="3D3D3D"/>
          <w:spacing w:val="0"/>
          <w:sz w:val="25"/>
          <w:szCs w:val="25"/>
          <w:bdr w:val="none" w:color="auto" w:sz="0" w:space="0"/>
          <w:shd w:val="clear" w:fill="FFFFFF"/>
        </w:rPr>
        <w:t>天津市财政局</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r>
        <w:rPr>
          <w:rFonts w:hint="default" w:ascii="仿宋_GB2312" w:eastAsia="仿宋_GB2312" w:cs="仿宋_GB2312"/>
          <w:i w:val="0"/>
          <w:iCs w:val="0"/>
          <w:caps w:val="0"/>
          <w:color w:val="3D3D3D"/>
          <w:spacing w:val="0"/>
          <w:sz w:val="25"/>
          <w:szCs w:val="25"/>
          <w:bdr w:val="none" w:color="auto" w:sz="0" w:space="0"/>
          <w:shd w:val="clear" w:fill="FFFFFF"/>
        </w:rPr>
        <w:t>天津市规划和自然资源局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516" w:firstLine="0"/>
        <w:jc w:val="center"/>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2023</w:t>
      </w:r>
      <w:r>
        <w:rPr>
          <w:rFonts w:hint="default" w:ascii="仿宋_GB2312" w:eastAsia="仿宋_GB2312" w:cs="仿宋_GB2312"/>
          <w:i w:val="0"/>
          <w:iCs w:val="0"/>
          <w:caps w:val="0"/>
          <w:color w:val="3D3D3D"/>
          <w:spacing w:val="0"/>
          <w:sz w:val="25"/>
          <w:szCs w:val="25"/>
          <w:bdr w:val="none" w:color="auto" w:sz="0" w:space="0"/>
          <w:shd w:val="clear" w:fill="FFFFFF"/>
        </w:rPr>
        <w:t>年</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11</w:t>
      </w:r>
      <w:r>
        <w:rPr>
          <w:rFonts w:hint="default" w:ascii="仿宋_GB2312" w:eastAsia="仿宋_GB2312" w:cs="仿宋_GB2312"/>
          <w:i w:val="0"/>
          <w:iCs w:val="0"/>
          <w:caps w:val="0"/>
          <w:color w:val="3D3D3D"/>
          <w:spacing w:val="0"/>
          <w:sz w:val="25"/>
          <w:szCs w:val="25"/>
          <w:bdr w:val="none" w:color="auto" w:sz="0" w:space="0"/>
          <w:shd w:val="clear" w:fill="FFFFFF"/>
        </w:rPr>
        <w:t>月</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7</w:t>
      </w:r>
      <w:r>
        <w:rPr>
          <w:rFonts w:hint="default" w:ascii="仿宋_GB2312" w:eastAsia="仿宋_GB2312" w:cs="仿宋_GB2312"/>
          <w:i w:val="0"/>
          <w:iCs w:val="0"/>
          <w:caps w:val="0"/>
          <w:color w:val="3D3D3D"/>
          <w:spacing w:val="0"/>
          <w:sz w:val="25"/>
          <w:szCs w:val="25"/>
          <w:bdr w:val="none" w:color="auto" w:sz="0" w:space="0"/>
          <w:shd w:val="clear" w:fill="FFFFFF"/>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（此件</w:t>
      </w:r>
      <w:bookmarkStart w:id="1" w:name="list1"/>
      <w:bookmarkEnd w:id="1"/>
      <w:r>
        <w:rPr>
          <w:rFonts w:hint="default" w:ascii="仿宋_GB2312" w:eastAsia="仿宋_GB2312" w:cs="仿宋_GB2312"/>
          <w:i w:val="0"/>
          <w:iCs w:val="0"/>
          <w:caps w:val="0"/>
          <w:color w:val="3D3D3D"/>
          <w:spacing w:val="0"/>
          <w:sz w:val="25"/>
          <w:szCs w:val="25"/>
          <w:bdr w:val="none" w:color="auto" w:sz="0" w:space="0"/>
          <w:shd w:val="clear" w:fill="FFFFFF"/>
        </w:rPr>
        <w:t>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4" w:lineRule="atLeast"/>
        <w:ind w:left="0" w:right="0" w:firstLine="0"/>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default" w:ascii="仿宋_GB2312" w:eastAsia="仿宋_GB2312" w:cs="仿宋_GB2312"/>
          <w:i w:val="0"/>
          <w:iCs w:val="0"/>
          <w:caps w:val="0"/>
          <w:color w:val="3D3D3D"/>
          <w:spacing w:val="0"/>
          <w:sz w:val="25"/>
          <w:szCs w:val="25"/>
        </w:rPr>
      </w:pPr>
      <w:r>
        <w:rPr>
          <w:rFonts w:hint="eastAsia" w:ascii="方正小标宋简体" w:hAnsi="方正小标宋简体" w:eastAsia="方正小标宋简体" w:cs="方正小标宋简体"/>
          <w:i w:val="0"/>
          <w:iCs w:val="0"/>
          <w:caps w:val="0"/>
          <w:color w:val="3D3D3D"/>
          <w:spacing w:val="0"/>
          <w:sz w:val="34"/>
          <w:szCs w:val="34"/>
          <w:bdr w:val="none" w:color="auto" w:sz="0" w:space="0"/>
          <w:shd w:val="clear" w:fill="FFFFFF"/>
        </w:rPr>
        <w:t>天津市中央财政林业草原生态保护恢复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default" w:ascii="仿宋_GB2312" w:eastAsia="仿宋_GB2312" w:cs="仿宋_GB2312"/>
          <w:i w:val="0"/>
          <w:iCs w:val="0"/>
          <w:caps w:val="0"/>
          <w:color w:val="3D3D3D"/>
          <w:spacing w:val="0"/>
          <w:sz w:val="25"/>
          <w:szCs w:val="25"/>
        </w:rPr>
      </w:pPr>
      <w:r>
        <w:rPr>
          <w:rFonts w:hint="eastAsia" w:ascii="方正小标宋简体" w:hAnsi="方正小标宋简体" w:eastAsia="方正小标宋简体" w:cs="方正小标宋简体"/>
          <w:i w:val="0"/>
          <w:iCs w:val="0"/>
          <w:caps w:val="0"/>
          <w:color w:val="3D3D3D"/>
          <w:spacing w:val="0"/>
          <w:sz w:val="34"/>
          <w:szCs w:val="34"/>
          <w:bdr w:val="none" w:color="auto" w:sz="0" w:space="0"/>
          <w:shd w:val="clear" w:fill="FFFFFF"/>
        </w:rPr>
        <w:t>资金管理实施办法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default" w:ascii="仿宋_GB2312" w:eastAsia="仿宋_GB2312" w:cs="仿宋_GB2312"/>
          <w:i w:val="0"/>
          <w:iCs w:val="0"/>
          <w:caps w:val="0"/>
          <w:color w:val="3D3D3D"/>
          <w:spacing w:val="0"/>
          <w:sz w:val="25"/>
          <w:szCs w:val="25"/>
        </w:rPr>
      </w:pPr>
      <w:r>
        <w:rPr>
          <w:rFonts w:hint="eastAsia" w:ascii="方正小标宋简体" w:hAnsi="方正小标宋简体" w:eastAsia="方正小标宋简体" w:cs="方正小标宋简体"/>
          <w:i w:val="0"/>
          <w:iCs w:val="0"/>
          <w:caps w:val="0"/>
          <w:color w:val="3D3D3D"/>
          <w:spacing w:val="0"/>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default" w:ascii="仿宋_GB2312" w:eastAsia="仿宋_GB2312" w:cs="仿宋_GB2312"/>
          <w:i w:val="0"/>
          <w:iCs w:val="0"/>
          <w:caps w:val="0"/>
          <w:color w:val="3D3D3D"/>
          <w:spacing w:val="0"/>
          <w:sz w:val="25"/>
          <w:szCs w:val="25"/>
        </w:rPr>
      </w:pPr>
      <w:r>
        <w:rPr>
          <w:rFonts w:ascii="黑体" w:hAnsi="宋体" w:eastAsia="黑体" w:cs="黑体"/>
          <w:i w:val="0"/>
          <w:iCs w:val="0"/>
          <w:caps w:val="0"/>
          <w:color w:val="3D3D3D"/>
          <w:spacing w:val="0"/>
          <w:sz w:val="25"/>
          <w:szCs w:val="25"/>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ascii="楷体_GB2312" w:eastAsia="楷体_GB2312" w:cs="楷体_GB2312"/>
          <w:i w:val="0"/>
          <w:iCs w:val="0"/>
          <w:caps w:val="0"/>
          <w:color w:val="3D3D3D"/>
          <w:spacing w:val="0"/>
          <w:sz w:val="25"/>
          <w:szCs w:val="25"/>
          <w:bdr w:val="none" w:color="auto" w:sz="0" w:space="0"/>
          <w:shd w:val="clear" w:fill="FFFFFF"/>
        </w:rPr>
        <w:t>第一条</w:t>
      </w:r>
      <w:r>
        <w:rPr>
          <w:rFonts w:hint="default" w:ascii="仿宋_GB2312" w:eastAsia="仿宋_GB2312" w:cs="仿宋_GB2312"/>
          <w:i w:val="0"/>
          <w:iCs w:val="0"/>
          <w:caps w:val="0"/>
          <w:color w:val="3D3D3D"/>
          <w:spacing w:val="0"/>
          <w:sz w:val="25"/>
          <w:szCs w:val="25"/>
          <w:bdr w:val="none" w:color="auto" w:sz="0" w:space="0"/>
          <w:shd w:val="clear" w:fill="FFFFFF"/>
        </w:rPr>
        <w:t> 为加强和规范林业草原生态保护恢复资金使用管理，提高资金使用效益，促进我市林业生态保护恢复，根据《中华人民共和国预算法》等法律法规和《财政部 国家林草局关于印发</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&lt;</w:t>
      </w:r>
      <w:r>
        <w:rPr>
          <w:rFonts w:hint="default" w:ascii="仿宋_GB2312" w:eastAsia="仿宋_GB2312" w:cs="仿宋_GB2312"/>
          <w:i w:val="0"/>
          <w:iCs w:val="0"/>
          <w:caps w:val="0"/>
          <w:color w:val="3D3D3D"/>
          <w:spacing w:val="0"/>
          <w:sz w:val="25"/>
          <w:szCs w:val="25"/>
          <w:bdr w:val="none" w:color="auto" w:sz="0" w:space="0"/>
          <w:shd w:val="clear" w:fill="FFFFFF"/>
        </w:rPr>
        <w:t>林业草原生态保护恢复资金管理办法</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&gt;</w:t>
      </w:r>
      <w:r>
        <w:rPr>
          <w:rFonts w:hint="default" w:ascii="仿宋_GB2312" w:eastAsia="仿宋_GB2312" w:cs="仿宋_GB2312"/>
          <w:i w:val="0"/>
          <w:iCs w:val="0"/>
          <w:caps w:val="0"/>
          <w:color w:val="3D3D3D"/>
          <w:spacing w:val="0"/>
          <w:sz w:val="25"/>
          <w:szCs w:val="25"/>
          <w:bdr w:val="none" w:color="auto" w:sz="0" w:space="0"/>
          <w:shd w:val="clear" w:fill="FFFFFF"/>
        </w:rPr>
        <w:t>的通知》（财资环〔</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2022</w:t>
      </w:r>
      <w:r>
        <w:rPr>
          <w:rFonts w:hint="default" w:ascii="仿宋_GB2312" w:eastAsia="仿宋_GB2312" w:cs="仿宋_GB2312"/>
          <w:i w:val="0"/>
          <w:iCs w:val="0"/>
          <w:caps w:val="0"/>
          <w:color w:val="3D3D3D"/>
          <w:spacing w:val="0"/>
          <w:sz w:val="25"/>
          <w:szCs w:val="25"/>
          <w:bdr w:val="none" w:color="auto" w:sz="0" w:space="0"/>
          <w:shd w:val="clear" w:fill="FFFFFF"/>
        </w:rPr>
        <w:t>〕</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170</w:t>
      </w:r>
      <w:r>
        <w:rPr>
          <w:rFonts w:hint="default" w:ascii="仿宋_GB2312" w:eastAsia="仿宋_GB2312" w:cs="仿宋_GB2312"/>
          <w:i w:val="0"/>
          <w:iCs w:val="0"/>
          <w:caps w:val="0"/>
          <w:color w:val="3D3D3D"/>
          <w:spacing w:val="0"/>
          <w:sz w:val="25"/>
          <w:szCs w:val="25"/>
          <w:bdr w:val="none" w:color="auto" w:sz="0" w:space="0"/>
          <w:shd w:val="clear" w:fill="FFFFFF"/>
        </w:rPr>
        <w:t>号），以及有关财政管理制度规定，结合我市实际，制定本实施办法。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第二条</w:t>
      </w:r>
      <w:r>
        <w:rPr>
          <w:rFonts w:hint="default" w:ascii="仿宋_GB2312" w:eastAsia="仿宋_GB2312" w:cs="仿宋_GB2312"/>
          <w:i w:val="0"/>
          <w:iCs w:val="0"/>
          <w:caps w:val="0"/>
          <w:color w:val="3D3D3D"/>
          <w:spacing w:val="0"/>
          <w:sz w:val="25"/>
          <w:szCs w:val="25"/>
          <w:bdr w:val="none" w:color="auto" w:sz="0" w:space="0"/>
          <w:shd w:val="clear" w:fill="FFFFFF"/>
        </w:rPr>
        <w:t> 本办法所称林业草原生态保护恢复资金，是指中央预算安排用于我市国家公园及其他自然保护地、国家重点野生动植物等保护、森林保护修复、生态护林员等方面的共同财政事权转移支付资金。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第三条</w:t>
      </w:r>
      <w:r>
        <w:rPr>
          <w:rFonts w:hint="default" w:ascii="仿宋_GB2312" w:eastAsia="仿宋_GB2312" w:cs="仿宋_GB2312"/>
          <w:i w:val="0"/>
          <w:iCs w:val="0"/>
          <w:caps w:val="0"/>
          <w:color w:val="3D3D3D"/>
          <w:spacing w:val="0"/>
          <w:sz w:val="25"/>
          <w:szCs w:val="25"/>
          <w:bdr w:val="none" w:color="auto" w:sz="0" w:space="0"/>
          <w:shd w:val="clear" w:fill="FFFFFF"/>
        </w:rPr>
        <w:t> 林业草原生态保护恢复资金由市财政局、市规划资源局共同管理。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市财政局负责审核资金分配建议方案并下达预算，组织开展预算绩效管理和预算监管，指导各区加强资金使用管理监督等。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市规划资源局负责提出资金分配建议方案，按规定组织做好预算绩效管理，督促和指导各级林业部门及资金使用单位做好项目和资金使用管理监督工作等。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r>
        <w:rPr>
          <w:rFonts w:hint="default" w:ascii="楷体_GB2312" w:eastAsia="楷体_GB2312" w:cs="楷体_GB2312"/>
          <w:i w:val="0"/>
          <w:iCs w:val="0"/>
          <w:caps w:val="0"/>
          <w:color w:val="3D3D3D"/>
          <w:spacing w:val="0"/>
          <w:sz w:val="25"/>
          <w:szCs w:val="25"/>
          <w:bdr w:val="none" w:color="auto" w:sz="0" w:space="0"/>
          <w:shd w:val="clear" w:fill="FFFFFF"/>
        </w:rPr>
        <w:t> 第四条</w:t>
      </w:r>
      <w:r>
        <w:rPr>
          <w:rFonts w:hint="default" w:ascii="仿宋_GB2312" w:eastAsia="仿宋_GB2312" w:cs="仿宋_GB2312"/>
          <w:i w:val="0"/>
          <w:iCs w:val="0"/>
          <w:caps w:val="0"/>
          <w:color w:val="3D3D3D"/>
          <w:spacing w:val="0"/>
          <w:sz w:val="25"/>
          <w:szCs w:val="25"/>
          <w:bdr w:val="none" w:color="auto" w:sz="0" w:space="0"/>
          <w:shd w:val="clear" w:fill="FFFFFF"/>
        </w:rPr>
        <w:t> 区财政部门负责本地区林业草原生态保护恢复资金的预算分解下达、组织预算执行、资金使用管理和监督以及预算绩效管理工作等。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r>
        <w:rPr>
          <w:rFonts w:hint="default" w:ascii="仿宋_GB2312" w:eastAsia="仿宋_GB2312" w:cs="仿宋_GB2312"/>
          <w:i w:val="0"/>
          <w:iCs w:val="0"/>
          <w:caps w:val="0"/>
          <w:color w:val="3D3D3D"/>
          <w:spacing w:val="0"/>
          <w:sz w:val="25"/>
          <w:szCs w:val="25"/>
          <w:bdr w:val="none" w:color="auto" w:sz="0" w:space="0"/>
          <w:shd w:val="clear" w:fill="FFFFFF"/>
        </w:rPr>
        <w:t>区林业主管部门根据职能参与本地区林业草原生态保护恢复资金分配，负责资金的具体使用管理和监督、项目组织实施及预算绩效管理具体工作等。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区林业部门和财政部门应当对上报的可能影响资金分配结果的有关数据和信息的真实性、准确性负责。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default" w:ascii="仿宋_GB2312" w:eastAsia="仿宋_GB2312" w:cs="仿宋_GB2312"/>
          <w:i w:val="0"/>
          <w:iCs w:val="0"/>
          <w:caps w:val="0"/>
          <w:color w:val="3D3D3D"/>
          <w:spacing w:val="0"/>
          <w:sz w:val="25"/>
          <w:szCs w:val="25"/>
        </w:rPr>
      </w:pPr>
      <w:r>
        <w:rPr>
          <w:rFonts w:hint="eastAsia" w:ascii="黑体" w:hAnsi="宋体" w:eastAsia="黑体" w:cs="黑体"/>
          <w:i w:val="0"/>
          <w:iCs w:val="0"/>
          <w:caps w:val="0"/>
          <w:color w:val="3D3D3D"/>
          <w:spacing w:val="0"/>
          <w:sz w:val="25"/>
          <w:szCs w:val="25"/>
          <w:bdr w:val="none" w:color="auto" w:sz="0" w:space="0"/>
          <w:shd w:val="clear" w:fill="FFFFFF"/>
        </w:rPr>
        <w:t>第二章 资金使用范围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第五条</w:t>
      </w:r>
      <w:r>
        <w:rPr>
          <w:rFonts w:hint="default" w:ascii="仿宋_GB2312" w:eastAsia="仿宋_GB2312" w:cs="仿宋_GB2312"/>
          <w:i w:val="0"/>
          <w:iCs w:val="0"/>
          <w:caps w:val="0"/>
          <w:color w:val="3D3D3D"/>
          <w:spacing w:val="0"/>
          <w:sz w:val="25"/>
          <w:szCs w:val="25"/>
          <w:bdr w:val="none" w:color="auto" w:sz="0" w:space="0"/>
          <w:shd w:val="clear" w:fill="FFFFFF"/>
        </w:rPr>
        <w:t> 林业草原生态保护恢复资金主要用于以下方面：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（一）国家公园支出用于国家公园生态系统保护修复、创建和运行管理、协调发展、保护科研和科普宣教、国际合作和社会参与。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（二）其他自然保护地支出用于国家级自然保护区、国家重要湿地（含国际重要湿地）的生态保护补偿与修复，特种救护、保护设施设备购置维护，专项调查和监测，宣传教育等。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（三）国家重点野生动植物等保护支出用于国家重点野生植物保护，国家重点野生动物保护、疫源疫病监测和防控、危害防控和补偿，以及其他致害严重的陆生野生动物的危害防控和补偿。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（四）森林保护修复支出用于经国务院批准的天然林保护修复中长期规划（以下简称天然林规划）确定的森林资源保护管理和修复。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（五）党中央、国务院确定的支持林业草原生态保护恢复的其他重点工作。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第六条</w:t>
      </w:r>
      <w:r>
        <w:rPr>
          <w:rFonts w:hint="default" w:ascii="仿宋_GB2312" w:eastAsia="仿宋_GB2312" w:cs="仿宋_GB2312"/>
          <w:i w:val="0"/>
          <w:iCs w:val="0"/>
          <w:caps w:val="0"/>
          <w:color w:val="3D3D3D"/>
          <w:spacing w:val="0"/>
          <w:sz w:val="25"/>
          <w:szCs w:val="25"/>
          <w:bdr w:val="none" w:color="auto" w:sz="0" w:space="0"/>
          <w:shd w:val="clear" w:fill="FFFFFF"/>
        </w:rPr>
        <w:t> 林业草原生态保护恢复资金不得用于兴建楼堂馆所、偿还举借的债务及其他与林业草原生态保护恢复无关的支出。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第七条</w:t>
      </w:r>
      <w:r>
        <w:rPr>
          <w:rFonts w:hint="default" w:ascii="仿宋_GB2312" w:eastAsia="仿宋_GB2312" w:cs="仿宋_GB2312"/>
          <w:i w:val="0"/>
          <w:iCs w:val="0"/>
          <w:caps w:val="0"/>
          <w:color w:val="3D3D3D"/>
          <w:spacing w:val="0"/>
          <w:sz w:val="25"/>
          <w:szCs w:val="25"/>
          <w:bdr w:val="none" w:color="auto" w:sz="0" w:space="0"/>
          <w:shd w:val="clear" w:fill="FFFFFF"/>
        </w:rPr>
        <w:t> 林业草原生态保护恢复资金不得与中央基建投资及其他中央财政资金交叉使用、重复支持。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仿宋_GB2312" w:eastAsia="仿宋_GB2312" w:cs="仿宋_GB2312"/>
          <w:i w:val="0"/>
          <w:iCs w:val="0"/>
          <w:caps w:val="0"/>
          <w:color w:val="3D3D3D"/>
          <w:spacing w:val="0"/>
          <w:sz w:val="25"/>
          <w:szCs w:val="25"/>
        </w:rPr>
      </w:pPr>
      <w:r>
        <w:rPr>
          <w:rFonts w:hint="eastAsia" w:ascii="黑体" w:hAnsi="宋体" w:eastAsia="黑体" w:cs="黑体"/>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default" w:ascii="仿宋_GB2312" w:eastAsia="仿宋_GB2312" w:cs="仿宋_GB2312"/>
          <w:i w:val="0"/>
          <w:iCs w:val="0"/>
          <w:caps w:val="0"/>
          <w:color w:val="3D3D3D"/>
          <w:spacing w:val="0"/>
          <w:sz w:val="25"/>
          <w:szCs w:val="25"/>
        </w:rPr>
      </w:pPr>
      <w:r>
        <w:rPr>
          <w:rFonts w:hint="eastAsia" w:ascii="黑体" w:hAnsi="宋体" w:eastAsia="黑体" w:cs="黑体"/>
          <w:i w:val="0"/>
          <w:iCs w:val="0"/>
          <w:caps w:val="0"/>
          <w:color w:val="3D3D3D"/>
          <w:spacing w:val="0"/>
          <w:sz w:val="25"/>
          <w:szCs w:val="25"/>
          <w:bdr w:val="none" w:color="auto" w:sz="0" w:space="0"/>
          <w:shd w:val="clear" w:fill="FFFFFF"/>
        </w:rPr>
        <w:t>第三章 资金分配方法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第八条</w:t>
      </w:r>
      <w:r>
        <w:rPr>
          <w:rFonts w:hint="default" w:ascii="仿宋_GB2312" w:eastAsia="仿宋_GB2312" w:cs="仿宋_GB2312"/>
          <w:i w:val="0"/>
          <w:iCs w:val="0"/>
          <w:caps w:val="0"/>
          <w:color w:val="3D3D3D"/>
          <w:spacing w:val="0"/>
          <w:sz w:val="25"/>
          <w:szCs w:val="25"/>
          <w:bdr w:val="none" w:color="auto" w:sz="0" w:space="0"/>
          <w:shd w:val="clear" w:fill="FFFFFF"/>
        </w:rPr>
        <w:t> 林业草原生态保护恢复资金采取因素法分配。具体因素选取可根据党中央、国务院有关决策部署和我市林业草原保护恢复实际需要适当调整，对相关改革或试点可以采取定额补助。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资金分配过程中，应当根据审计和财政监督、资金使用绩效等情况对测算结果进行相应扣减和奖励调节。对国家公园、森林保护修复等重点支出，可根据资金使用绩效加大调节力度。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第九条</w:t>
      </w:r>
      <w:r>
        <w:rPr>
          <w:rFonts w:hint="default" w:ascii="仿宋_GB2312" w:eastAsia="仿宋_GB2312" w:cs="仿宋_GB2312"/>
          <w:i w:val="0"/>
          <w:iCs w:val="0"/>
          <w:caps w:val="0"/>
          <w:color w:val="3D3D3D"/>
          <w:spacing w:val="0"/>
          <w:sz w:val="25"/>
          <w:szCs w:val="25"/>
          <w:bdr w:val="none" w:color="auto" w:sz="0" w:space="0"/>
          <w:shd w:val="clear" w:fill="FFFFFF"/>
        </w:rPr>
        <w:t> 国家公园支出中，对已设立的国家公园按照依规纳入林业草原项目储备库的年度支出需求、国家公园面积、重点物种保护需要及难度、政策等因素分配，权重分别为</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70</w:t>
      </w:r>
      <w:r>
        <w:rPr>
          <w:rFonts w:hint="default" w:ascii="仿宋_GB2312" w:eastAsia="仿宋_GB2312" w:cs="仿宋_GB2312"/>
          <w:i w:val="0"/>
          <w:iCs w:val="0"/>
          <w:caps w:val="0"/>
          <w:color w:val="3D3D3D"/>
          <w:spacing w:val="0"/>
          <w:sz w:val="25"/>
          <w:szCs w:val="25"/>
          <w:bdr w:val="none" w:color="auto" w:sz="0" w:space="0"/>
          <w:shd w:val="clear" w:fill="FFFFFF"/>
        </w:rPr>
        <w:t>％、</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10</w:t>
      </w:r>
      <w:r>
        <w:rPr>
          <w:rFonts w:hint="default" w:ascii="仿宋_GB2312" w:eastAsia="仿宋_GB2312" w:cs="仿宋_GB2312"/>
          <w:i w:val="0"/>
          <w:iCs w:val="0"/>
          <w:caps w:val="0"/>
          <w:color w:val="3D3D3D"/>
          <w:spacing w:val="0"/>
          <w:sz w:val="25"/>
          <w:szCs w:val="25"/>
          <w:bdr w:val="none" w:color="auto" w:sz="0" w:space="0"/>
          <w:shd w:val="clear" w:fill="FFFFFF"/>
        </w:rPr>
        <w:t>％、</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10</w:t>
      </w:r>
      <w:r>
        <w:rPr>
          <w:rFonts w:hint="default" w:ascii="仿宋_GB2312" w:eastAsia="仿宋_GB2312" w:cs="仿宋_GB2312"/>
          <w:i w:val="0"/>
          <w:iCs w:val="0"/>
          <w:caps w:val="0"/>
          <w:color w:val="3D3D3D"/>
          <w:spacing w:val="0"/>
          <w:sz w:val="25"/>
          <w:szCs w:val="25"/>
          <w:bdr w:val="none" w:color="auto" w:sz="0" w:space="0"/>
          <w:shd w:val="clear" w:fill="FFFFFF"/>
        </w:rPr>
        <w:t>％、</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10</w:t>
      </w:r>
      <w:r>
        <w:rPr>
          <w:rFonts w:hint="default" w:ascii="仿宋_GB2312" w:eastAsia="仿宋_GB2312" w:cs="仿宋_GB2312"/>
          <w:i w:val="0"/>
          <w:iCs w:val="0"/>
          <w:caps w:val="0"/>
          <w:color w:val="3D3D3D"/>
          <w:spacing w:val="0"/>
          <w:sz w:val="25"/>
          <w:szCs w:val="25"/>
          <w:bdr w:val="none" w:color="auto" w:sz="0" w:space="0"/>
          <w:shd w:val="clear" w:fill="FFFFFF"/>
        </w:rPr>
        <w:t>％，可结合财力状况适当调节，其中纳入国家公园支出的相关森林保护修复补偿执行国家公园区域外同类资金测算分配方法；对经批准启动国家公园创建的国家公园候选区采取定额补助，具体根据年度预算规模、创建数量等确定，对同一个国家公园创建定额补助原则上不超过</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3</w:t>
      </w:r>
      <w:r>
        <w:rPr>
          <w:rFonts w:hint="default" w:ascii="仿宋_GB2312" w:eastAsia="仿宋_GB2312" w:cs="仿宋_GB2312"/>
          <w:i w:val="0"/>
          <w:iCs w:val="0"/>
          <w:caps w:val="0"/>
          <w:color w:val="3D3D3D"/>
          <w:spacing w:val="0"/>
          <w:sz w:val="25"/>
          <w:szCs w:val="25"/>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第十条</w:t>
      </w:r>
      <w:r>
        <w:rPr>
          <w:rFonts w:hint="default" w:ascii="仿宋_GB2312" w:eastAsia="仿宋_GB2312" w:cs="仿宋_GB2312"/>
          <w:i w:val="0"/>
          <w:iCs w:val="0"/>
          <w:caps w:val="0"/>
          <w:color w:val="3D3D3D"/>
          <w:spacing w:val="0"/>
          <w:sz w:val="25"/>
          <w:szCs w:val="25"/>
          <w:bdr w:val="none" w:color="auto" w:sz="0" w:space="0"/>
          <w:shd w:val="clear" w:fill="FFFFFF"/>
        </w:rPr>
        <w:t> 其他自然保护地支出和国家重点野生动植物等保护支出按照工作任务、资源状况、政策等因素分配，权重分别为</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70</w:t>
      </w:r>
      <w:r>
        <w:rPr>
          <w:rFonts w:hint="default" w:ascii="仿宋_GB2312" w:eastAsia="仿宋_GB2312" w:cs="仿宋_GB2312"/>
          <w:i w:val="0"/>
          <w:iCs w:val="0"/>
          <w:caps w:val="0"/>
          <w:color w:val="3D3D3D"/>
          <w:spacing w:val="0"/>
          <w:sz w:val="25"/>
          <w:szCs w:val="25"/>
          <w:bdr w:val="none" w:color="auto" w:sz="0" w:space="0"/>
          <w:shd w:val="clear" w:fill="FFFFFF"/>
        </w:rPr>
        <w:t>％、</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15</w:t>
      </w:r>
      <w:r>
        <w:rPr>
          <w:rFonts w:hint="default" w:ascii="仿宋_GB2312" w:eastAsia="仿宋_GB2312" w:cs="仿宋_GB2312"/>
          <w:i w:val="0"/>
          <w:iCs w:val="0"/>
          <w:caps w:val="0"/>
          <w:color w:val="3D3D3D"/>
          <w:spacing w:val="0"/>
          <w:sz w:val="25"/>
          <w:szCs w:val="25"/>
          <w:bdr w:val="none" w:color="auto" w:sz="0" w:space="0"/>
          <w:shd w:val="clear" w:fill="FFFFFF"/>
        </w:rPr>
        <w:t>％、</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15</w:t>
      </w:r>
      <w:r>
        <w:rPr>
          <w:rFonts w:hint="default" w:ascii="仿宋_GB2312" w:eastAsia="仿宋_GB2312" w:cs="仿宋_GB2312"/>
          <w:i w:val="0"/>
          <w:iCs w:val="0"/>
          <w:caps w:val="0"/>
          <w:color w:val="3D3D3D"/>
          <w:spacing w:val="0"/>
          <w:sz w:val="25"/>
          <w:szCs w:val="25"/>
          <w:bdr w:val="none" w:color="auto" w:sz="0" w:space="0"/>
          <w:shd w:val="clear" w:fill="FFFFFF"/>
        </w:rPr>
        <w:t>％，可结合财力状况适当调节。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第十一条</w:t>
      </w:r>
      <w:r>
        <w:rPr>
          <w:rFonts w:hint="default" w:ascii="仿宋_GB2312" w:eastAsia="仿宋_GB2312" w:cs="仿宋_GB2312"/>
          <w:i w:val="0"/>
          <w:iCs w:val="0"/>
          <w:caps w:val="0"/>
          <w:color w:val="3D3D3D"/>
          <w:spacing w:val="0"/>
          <w:sz w:val="25"/>
          <w:szCs w:val="25"/>
          <w:bdr w:val="none" w:color="auto" w:sz="0" w:space="0"/>
          <w:shd w:val="clear" w:fill="FFFFFF"/>
        </w:rPr>
        <w:t> 森林保护修复支出执行天然林规划规定的资金分配方法。天然林规划出台前执行原测算分配方法。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第十二条</w:t>
      </w:r>
      <w:r>
        <w:rPr>
          <w:rFonts w:hint="default" w:ascii="仿宋_GB2312" w:eastAsia="仿宋_GB2312" w:cs="仿宋_GB2312"/>
          <w:i w:val="0"/>
          <w:iCs w:val="0"/>
          <w:caps w:val="0"/>
          <w:color w:val="3D3D3D"/>
          <w:spacing w:val="0"/>
          <w:sz w:val="25"/>
          <w:szCs w:val="25"/>
          <w:bdr w:val="none" w:color="auto" w:sz="0" w:space="0"/>
          <w:shd w:val="clear" w:fill="FFFFFF"/>
        </w:rPr>
        <w:t> 在分解下达生态保护恢复资金时，应当结合相关工作任务和本地实际，向特殊地区倾斜。森林保护修复支出资金使用应确定优先顺序，确保按规定兜牢国有林业单位职工基本民生底线。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default" w:ascii="仿宋_GB2312" w:eastAsia="仿宋_GB2312" w:cs="仿宋_GB2312"/>
          <w:i w:val="0"/>
          <w:iCs w:val="0"/>
          <w:caps w:val="0"/>
          <w:color w:val="3D3D3D"/>
          <w:spacing w:val="0"/>
          <w:sz w:val="25"/>
          <w:szCs w:val="25"/>
        </w:rPr>
      </w:pPr>
      <w:r>
        <w:rPr>
          <w:rFonts w:hint="eastAsia" w:ascii="黑体" w:hAnsi="宋体" w:eastAsia="黑体" w:cs="黑体"/>
          <w:i w:val="0"/>
          <w:iCs w:val="0"/>
          <w:caps w:val="0"/>
          <w:color w:val="3D3D3D"/>
          <w:spacing w:val="0"/>
          <w:sz w:val="25"/>
          <w:szCs w:val="25"/>
          <w:bdr w:val="none" w:color="auto" w:sz="0" w:space="0"/>
          <w:shd w:val="clear" w:fill="FFFFFF"/>
        </w:rPr>
        <w:t>第四章 预算下达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第十三条</w:t>
      </w:r>
      <w:r>
        <w:rPr>
          <w:rFonts w:hint="default" w:ascii="仿宋_GB2312" w:eastAsia="仿宋_GB2312" w:cs="仿宋_GB2312"/>
          <w:i w:val="0"/>
          <w:iCs w:val="0"/>
          <w:caps w:val="0"/>
          <w:color w:val="3D3D3D"/>
          <w:spacing w:val="0"/>
          <w:sz w:val="25"/>
          <w:szCs w:val="25"/>
          <w:bdr w:val="none" w:color="auto" w:sz="0" w:space="0"/>
          <w:shd w:val="clear" w:fill="FFFFFF"/>
        </w:rPr>
        <w:t> 市规划资源局应当按规定及时完整规范做好生态保护恢复资金项目储备，负责本市项目的组织、审核、汇总入库。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r>
        <w:rPr>
          <w:rFonts w:hint="default" w:ascii="仿宋_GB2312" w:eastAsia="仿宋_GB2312" w:cs="仿宋_GB2312"/>
          <w:i w:val="0"/>
          <w:iCs w:val="0"/>
          <w:caps w:val="0"/>
          <w:color w:val="3D3D3D"/>
          <w:spacing w:val="0"/>
          <w:sz w:val="25"/>
          <w:szCs w:val="25"/>
          <w:bdr w:val="none" w:color="auto" w:sz="0" w:space="0"/>
          <w:shd w:val="clear" w:fill="FFFFFF"/>
        </w:rPr>
        <w:t>各区级林业主管部门和资金申请单位应当按要求申报项目。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第十四条</w:t>
      </w:r>
      <w:r>
        <w:rPr>
          <w:rFonts w:hint="default" w:ascii="仿宋_GB2312" w:eastAsia="仿宋_GB2312" w:cs="仿宋_GB2312"/>
          <w:i w:val="0"/>
          <w:iCs w:val="0"/>
          <w:caps w:val="0"/>
          <w:color w:val="3D3D3D"/>
          <w:spacing w:val="0"/>
          <w:sz w:val="25"/>
          <w:szCs w:val="25"/>
          <w:bdr w:val="none" w:color="auto" w:sz="0" w:space="0"/>
          <w:shd w:val="clear" w:fill="FFFFFF"/>
        </w:rPr>
        <w:t> 市规划资源局按照国家林草局、财政部有关部署，每年组织开展下一年度林业草原生态保护恢复资金申请，并联合市财政局上报国家林草局、财政部。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第十五条</w:t>
      </w:r>
      <w:r>
        <w:rPr>
          <w:rFonts w:hint="default" w:ascii="仿宋_GB2312" w:eastAsia="仿宋_GB2312" w:cs="仿宋_GB2312"/>
          <w:i w:val="0"/>
          <w:iCs w:val="0"/>
          <w:caps w:val="0"/>
          <w:color w:val="3D3D3D"/>
          <w:spacing w:val="0"/>
          <w:sz w:val="25"/>
          <w:szCs w:val="25"/>
          <w:bdr w:val="none" w:color="auto" w:sz="0" w:space="0"/>
          <w:shd w:val="clear" w:fill="FFFFFF"/>
        </w:rPr>
        <w:t> 接到林业草原生态恢复资金预算后，市财政局会同市规划资源局在</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30</w:t>
      </w:r>
      <w:r>
        <w:rPr>
          <w:rFonts w:hint="default" w:ascii="仿宋_GB2312" w:eastAsia="仿宋_GB2312" w:cs="仿宋_GB2312"/>
          <w:i w:val="0"/>
          <w:iCs w:val="0"/>
          <w:caps w:val="0"/>
          <w:color w:val="3D3D3D"/>
          <w:spacing w:val="0"/>
          <w:sz w:val="25"/>
          <w:szCs w:val="25"/>
          <w:bdr w:val="none" w:color="auto" w:sz="0" w:space="0"/>
          <w:shd w:val="clear" w:fill="FFFFFF"/>
        </w:rPr>
        <w:t>日内分解下达，同时将资金分配结果报财政部、国家林草局备案，抄送财政部天津监管局。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384"/>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default" w:ascii="仿宋_GB2312" w:eastAsia="仿宋_GB2312" w:cs="仿宋_GB2312"/>
          <w:i w:val="0"/>
          <w:iCs w:val="0"/>
          <w:caps w:val="0"/>
          <w:color w:val="3D3D3D"/>
          <w:spacing w:val="0"/>
          <w:sz w:val="25"/>
          <w:szCs w:val="25"/>
        </w:rPr>
      </w:pPr>
      <w:r>
        <w:rPr>
          <w:rFonts w:hint="eastAsia" w:ascii="黑体" w:hAnsi="宋体" w:eastAsia="黑体" w:cs="黑体"/>
          <w:i w:val="0"/>
          <w:iCs w:val="0"/>
          <w:caps w:val="0"/>
          <w:color w:val="3D3D3D"/>
          <w:spacing w:val="0"/>
          <w:sz w:val="25"/>
          <w:szCs w:val="25"/>
          <w:bdr w:val="none" w:color="auto" w:sz="0" w:space="0"/>
          <w:shd w:val="clear" w:fill="FFFFFF"/>
        </w:rPr>
        <w:t>第五章 预算绩效管理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第十六条</w:t>
      </w:r>
      <w:r>
        <w:rPr>
          <w:rFonts w:hint="default" w:ascii="仿宋_GB2312" w:eastAsia="仿宋_GB2312" w:cs="仿宋_GB2312"/>
          <w:i w:val="0"/>
          <w:iCs w:val="0"/>
          <w:caps w:val="0"/>
          <w:color w:val="3D3D3D"/>
          <w:spacing w:val="0"/>
          <w:sz w:val="25"/>
          <w:szCs w:val="25"/>
          <w:bdr w:val="none" w:color="auto" w:sz="0" w:space="0"/>
          <w:shd w:val="clear" w:fill="FFFFFF"/>
        </w:rPr>
        <w:t> 林业草原生态保护恢复资金建立</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w:t>
      </w:r>
      <w:r>
        <w:rPr>
          <w:rFonts w:hint="default" w:ascii="仿宋_GB2312" w:eastAsia="仿宋_GB2312" w:cs="仿宋_GB2312"/>
          <w:i w:val="0"/>
          <w:iCs w:val="0"/>
          <w:caps w:val="0"/>
          <w:color w:val="3D3D3D"/>
          <w:spacing w:val="0"/>
          <w:sz w:val="25"/>
          <w:szCs w:val="25"/>
          <w:bdr w:val="none" w:color="auto" w:sz="0" w:space="0"/>
          <w:shd w:val="clear" w:fill="FFFFFF"/>
        </w:rPr>
        <w:t>预算编制有目标、预算执行有监控、预算完成有评价、评价结果有反馈、反馈结果有应用</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w:t>
      </w:r>
      <w:r>
        <w:rPr>
          <w:rFonts w:hint="default" w:ascii="仿宋_GB2312" w:eastAsia="仿宋_GB2312" w:cs="仿宋_GB2312"/>
          <w:i w:val="0"/>
          <w:iCs w:val="0"/>
          <w:caps w:val="0"/>
          <w:color w:val="3D3D3D"/>
          <w:spacing w:val="0"/>
          <w:sz w:val="25"/>
          <w:szCs w:val="25"/>
          <w:bdr w:val="none" w:color="auto" w:sz="0" w:space="0"/>
          <w:shd w:val="clear" w:fill="FFFFFF"/>
        </w:rPr>
        <w:t>的全过程预算绩效管理机制。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第十七条</w:t>
      </w:r>
      <w:r>
        <w:rPr>
          <w:rFonts w:hint="default" w:ascii="仿宋_GB2312" w:eastAsia="仿宋_GB2312" w:cs="仿宋_GB2312"/>
          <w:i w:val="0"/>
          <w:iCs w:val="0"/>
          <w:caps w:val="0"/>
          <w:color w:val="3D3D3D"/>
          <w:spacing w:val="0"/>
          <w:sz w:val="25"/>
          <w:szCs w:val="25"/>
          <w:bdr w:val="none" w:color="auto" w:sz="0" w:space="0"/>
          <w:shd w:val="clear" w:fill="FFFFFF"/>
        </w:rPr>
        <w:t> 林业草原生态保护恢复资金绩效目标分为整体绩效目标和区域绩效目标，主要内容包括产出、效益、满意度等指标。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第十八条</w:t>
      </w:r>
      <w:r>
        <w:rPr>
          <w:rFonts w:hint="default" w:ascii="仿宋_GB2312" w:eastAsia="仿宋_GB2312" w:cs="仿宋_GB2312"/>
          <w:i w:val="0"/>
          <w:iCs w:val="0"/>
          <w:caps w:val="0"/>
          <w:color w:val="3D3D3D"/>
          <w:spacing w:val="0"/>
          <w:sz w:val="25"/>
          <w:szCs w:val="25"/>
          <w:bdr w:val="none" w:color="auto" w:sz="0" w:space="0"/>
          <w:shd w:val="clear" w:fill="FFFFFF"/>
        </w:rPr>
        <w:t> 绩效目标设定、审核、下达的依据：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（一）国家相关法律、法规和规章，党中央、国务院对林业草原领域重大决策部署，国民经济和社会发展规划。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（二）财政部门中期财政规划和年度预算，财政部门制定的预算管理制度。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（三）林业草原发展规划、林业草原行业标准及其他相关重点规划等。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（四）统计部门或行业主管部门公布的有关林业草原统计数据和财政部门反映资金管理的有关数据。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（五）符合财政部门、林业主管部门要求的其他依据。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第十九条</w:t>
      </w:r>
      <w:r>
        <w:rPr>
          <w:rFonts w:hint="default" w:ascii="仿宋_GB2312" w:eastAsia="仿宋_GB2312" w:cs="仿宋_GB2312"/>
          <w:i w:val="0"/>
          <w:iCs w:val="0"/>
          <w:caps w:val="0"/>
          <w:color w:val="3D3D3D"/>
          <w:spacing w:val="0"/>
          <w:sz w:val="25"/>
          <w:szCs w:val="25"/>
          <w:bdr w:val="none" w:color="auto" w:sz="0" w:space="0"/>
          <w:shd w:val="clear" w:fill="FFFFFF"/>
        </w:rPr>
        <w:t> 市财政局组织市规划资源局于每年</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w:t>
      </w:r>
      <w:r>
        <w:rPr>
          <w:rFonts w:hint="default" w:ascii="仿宋_GB2312" w:eastAsia="仿宋_GB2312" w:cs="仿宋_GB2312"/>
          <w:i w:val="0"/>
          <w:iCs w:val="0"/>
          <w:caps w:val="0"/>
          <w:color w:val="3D3D3D"/>
          <w:spacing w:val="0"/>
          <w:sz w:val="25"/>
          <w:szCs w:val="25"/>
          <w:bdr w:val="none" w:color="auto" w:sz="0" w:space="0"/>
          <w:shd w:val="clear" w:fill="FFFFFF"/>
        </w:rPr>
        <w:t>月</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15</w:t>
      </w:r>
      <w:r>
        <w:rPr>
          <w:rFonts w:hint="default" w:ascii="仿宋_GB2312" w:eastAsia="仿宋_GB2312" w:cs="仿宋_GB2312"/>
          <w:i w:val="0"/>
          <w:iCs w:val="0"/>
          <w:caps w:val="0"/>
          <w:color w:val="3D3D3D"/>
          <w:spacing w:val="0"/>
          <w:sz w:val="25"/>
          <w:szCs w:val="25"/>
          <w:bdr w:val="none" w:color="auto" w:sz="0" w:space="0"/>
          <w:shd w:val="clear" w:fill="FFFFFF"/>
        </w:rPr>
        <w:t>日前，结合中期财政规划、林业草原发展规划、国家公园总体规划和本市工作实际，根据上一年度绩效目标执行情况和绩效评价结果等，组织各有关部门确定林业草原生态保护年度重点任务和区域绩效目标，编制市级和区级区域绩效目标申报表，连同上一年度资金使用管理情况报送财政部、国家林草局备案，抄送财政部天津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区域绩效目标申报表详见附件。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第二十条</w:t>
      </w:r>
      <w:r>
        <w:rPr>
          <w:rFonts w:hint="default" w:ascii="仿宋_GB2312" w:eastAsia="仿宋_GB2312" w:cs="仿宋_GB2312"/>
          <w:i w:val="0"/>
          <w:iCs w:val="0"/>
          <w:caps w:val="0"/>
          <w:color w:val="3D3D3D"/>
          <w:spacing w:val="0"/>
          <w:sz w:val="25"/>
          <w:szCs w:val="25"/>
          <w:bdr w:val="none" w:color="auto" w:sz="0" w:space="0"/>
          <w:shd w:val="clear" w:fill="FFFFFF"/>
        </w:rPr>
        <w:t> 市财政局会同市规划资源局按要求实施预算绩效运行监控，市规划资源局是实施预算绩效运行监控的主体，重点监控资金使用是否符合下达的绩效目标，发现绩效运行与预期绩效目标发生偏离时，应当及时采取措施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第二十一条</w:t>
      </w:r>
      <w:r>
        <w:rPr>
          <w:rFonts w:hint="default" w:ascii="仿宋_GB2312" w:eastAsia="仿宋_GB2312" w:cs="仿宋_GB2312"/>
          <w:i w:val="0"/>
          <w:iCs w:val="0"/>
          <w:caps w:val="0"/>
          <w:color w:val="3D3D3D"/>
          <w:spacing w:val="0"/>
          <w:sz w:val="25"/>
          <w:szCs w:val="25"/>
          <w:bdr w:val="none" w:color="auto" w:sz="0" w:space="0"/>
          <w:shd w:val="clear" w:fill="FFFFFF"/>
        </w:rPr>
        <w:t> 预算执行结束后，相关单位对照确定的绩效目标开展绩效自评，并于每年</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12</w:t>
      </w:r>
      <w:r>
        <w:rPr>
          <w:rFonts w:hint="default" w:ascii="仿宋_GB2312" w:eastAsia="仿宋_GB2312" w:cs="仿宋_GB2312"/>
          <w:i w:val="0"/>
          <w:iCs w:val="0"/>
          <w:caps w:val="0"/>
          <w:color w:val="3D3D3D"/>
          <w:spacing w:val="0"/>
          <w:sz w:val="25"/>
          <w:szCs w:val="25"/>
          <w:bdr w:val="none" w:color="auto" w:sz="0" w:space="0"/>
          <w:shd w:val="clear" w:fill="FFFFFF"/>
        </w:rPr>
        <w:t>月</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31</w:t>
      </w:r>
      <w:r>
        <w:rPr>
          <w:rFonts w:hint="default" w:ascii="仿宋_GB2312" w:eastAsia="仿宋_GB2312" w:cs="仿宋_GB2312"/>
          <w:i w:val="0"/>
          <w:iCs w:val="0"/>
          <w:caps w:val="0"/>
          <w:color w:val="3D3D3D"/>
          <w:spacing w:val="0"/>
          <w:sz w:val="25"/>
          <w:szCs w:val="25"/>
          <w:bdr w:val="none" w:color="auto" w:sz="0" w:space="0"/>
          <w:shd w:val="clear" w:fill="FFFFFF"/>
        </w:rPr>
        <w:t>日前将自评报告和自评表报送市财政局、市规划资源局。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市财政局、市规划资源局可根据实际工作需要对重点项目开展绩效评价。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第二十二条</w:t>
      </w:r>
      <w:r>
        <w:rPr>
          <w:rFonts w:hint="default" w:ascii="仿宋_GB2312" w:eastAsia="仿宋_GB2312" w:cs="仿宋_GB2312"/>
          <w:i w:val="0"/>
          <w:iCs w:val="0"/>
          <w:caps w:val="0"/>
          <w:color w:val="3D3D3D"/>
          <w:spacing w:val="0"/>
          <w:sz w:val="25"/>
          <w:szCs w:val="25"/>
          <w:bdr w:val="none" w:color="auto" w:sz="0" w:space="0"/>
          <w:shd w:val="clear" w:fill="FFFFFF"/>
        </w:rPr>
        <w:t> 绩效运行监控和评价的依据包括：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（一）绩效目标设定、审核、下达的依据。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（二）生态保护恢复资金绩效目标。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（三）预算下达文件、财务会计资料等有关文件资料。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（四）人大审查结果报告，巡视、审计报告及决定，财政监督报告等，以及有关部门或委托中介机构出具的项目评审或竣工验收报告、评审考核意见等。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（五）反映工作情况和项目组织实施情况的正式文件、会议纪要等。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（六）符合财政部门、林业主管部门要求的其他依据。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第二十三条</w:t>
      </w:r>
      <w:r>
        <w:rPr>
          <w:rFonts w:hint="default" w:ascii="仿宋_GB2312" w:eastAsia="仿宋_GB2312" w:cs="仿宋_GB2312"/>
          <w:i w:val="0"/>
          <w:iCs w:val="0"/>
          <w:caps w:val="0"/>
          <w:color w:val="3D3D3D"/>
          <w:spacing w:val="0"/>
          <w:sz w:val="25"/>
          <w:szCs w:val="25"/>
          <w:bdr w:val="none" w:color="auto" w:sz="0" w:space="0"/>
          <w:shd w:val="clear" w:fill="FFFFFF"/>
        </w:rPr>
        <w:t> 绩效评价结果采取评分与评级相结合的形式，具体分值和等级按照项目支出绩效评价管理有关规定执行。市财政局、市规划资源局应当建立绩效评价结果反馈制度和应用机制，将绩效评价结果作为我市下一年度预算申请、安排、分配以及改进管理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default" w:ascii="仿宋_GB2312" w:eastAsia="仿宋_GB2312" w:cs="仿宋_GB2312"/>
          <w:i w:val="0"/>
          <w:iCs w:val="0"/>
          <w:caps w:val="0"/>
          <w:color w:val="3D3D3D"/>
          <w:spacing w:val="0"/>
          <w:sz w:val="25"/>
          <w:szCs w:val="25"/>
        </w:rPr>
      </w:pPr>
      <w:r>
        <w:rPr>
          <w:rFonts w:hint="eastAsia" w:ascii="黑体" w:hAnsi="宋体" w:eastAsia="黑体" w:cs="黑体"/>
          <w:i w:val="0"/>
          <w:iCs w:val="0"/>
          <w:caps w:val="0"/>
          <w:color w:val="3D3D3D"/>
          <w:spacing w:val="0"/>
          <w:sz w:val="25"/>
          <w:szCs w:val="25"/>
          <w:bdr w:val="none" w:color="auto" w:sz="0" w:space="0"/>
          <w:shd w:val="clear" w:fill="FFFFFF"/>
        </w:rPr>
        <w:t>第六章 预算执行和监督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r>
        <w:rPr>
          <w:rFonts w:hint="default" w:ascii="楷体_GB2312" w:eastAsia="楷体_GB2312" w:cs="楷体_GB2312"/>
          <w:i w:val="0"/>
          <w:iCs w:val="0"/>
          <w:caps w:val="0"/>
          <w:color w:val="3D3D3D"/>
          <w:spacing w:val="0"/>
          <w:sz w:val="25"/>
          <w:szCs w:val="25"/>
          <w:bdr w:val="none" w:color="auto" w:sz="0" w:space="0"/>
          <w:shd w:val="clear" w:fill="FFFFFF"/>
        </w:rPr>
        <w:t>第二十四条</w:t>
      </w:r>
      <w:r>
        <w:rPr>
          <w:rFonts w:hint="default" w:ascii="仿宋_GB2312" w:eastAsia="仿宋_GB2312" w:cs="仿宋_GB2312"/>
          <w:i w:val="0"/>
          <w:iCs w:val="0"/>
          <w:caps w:val="0"/>
          <w:color w:val="3D3D3D"/>
          <w:spacing w:val="0"/>
          <w:sz w:val="25"/>
          <w:szCs w:val="25"/>
          <w:bdr w:val="none" w:color="auto" w:sz="0" w:space="0"/>
          <w:shd w:val="clear" w:fill="FFFFFF"/>
        </w:rPr>
        <w:t> 区级财政部门、资金使用单位应当加快预算执行，提高资金使用效益。结转结余的生态保护恢复资金，按照结转结余资金管理的相关规定处理。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r>
        <w:rPr>
          <w:rFonts w:hint="default" w:ascii="楷体_GB2312" w:eastAsia="楷体_GB2312" w:cs="楷体_GB2312"/>
          <w:i w:val="0"/>
          <w:iCs w:val="0"/>
          <w:caps w:val="0"/>
          <w:color w:val="3D3D3D"/>
          <w:spacing w:val="0"/>
          <w:sz w:val="25"/>
          <w:szCs w:val="25"/>
          <w:bdr w:val="none" w:color="auto" w:sz="0" w:space="0"/>
          <w:shd w:val="clear" w:fill="FFFFFF"/>
        </w:rPr>
        <w:t> 第二十五条</w:t>
      </w:r>
      <w:r>
        <w:rPr>
          <w:rFonts w:hint="default" w:ascii="仿宋_GB2312" w:eastAsia="仿宋_GB2312" w:cs="仿宋_GB2312"/>
          <w:i w:val="0"/>
          <w:iCs w:val="0"/>
          <w:caps w:val="0"/>
          <w:color w:val="3D3D3D"/>
          <w:spacing w:val="0"/>
          <w:sz w:val="25"/>
          <w:szCs w:val="25"/>
          <w:bdr w:val="none" w:color="auto" w:sz="0" w:space="0"/>
          <w:shd w:val="clear" w:fill="FFFFFF"/>
        </w:rPr>
        <w:t> 林业草原生态保护恢复资金的支付执行国库集中支付制度有关规定。属于政府采购管理范围的，应当按照政府采购法律制度规定执行。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第二十六条</w:t>
      </w:r>
      <w:r>
        <w:rPr>
          <w:rFonts w:hint="default" w:ascii="仿宋_GB2312" w:eastAsia="仿宋_GB2312" w:cs="仿宋_GB2312"/>
          <w:i w:val="0"/>
          <w:iCs w:val="0"/>
          <w:caps w:val="0"/>
          <w:color w:val="3D3D3D"/>
          <w:spacing w:val="0"/>
          <w:sz w:val="25"/>
          <w:szCs w:val="25"/>
          <w:bdr w:val="none" w:color="auto" w:sz="0" w:space="0"/>
          <w:shd w:val="clear" w:fill="FFFFFF"/>
        </w:rPr>
        <w:t> 林业草原生态保护恢复资金使用管理相关信息应当按照预算公开有关要求执行。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384"/>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center"/>
        <w:rPr>
          <w:rFonts w:hint="default" w:ascii="仿宋_GB2312" w:eastAsia="仿宋_GB2312" w:cs="仿宋_GB2312"/>
          <w:i w:val="0"/>
          <w:iCs w:val="0"/>
          <w:caps w:val="0"/>
          <w:color w:val="3D3D3D"/>
          <w:spacing w:val="0"/>
          <w:sz w:val="25"/>
          <w:szCs w:val="25"/>
        </w:rPr>
      </w:pPr>
      <w:r>
        <w:rPr>
          <w:rFonts w:hint="eastAsia" w:ascii="黑体" w:hAnsi="宋体" w:eastAsia="黑体" w:cs="黑体"/>
          <w:i w:val="0"/>
          <w:iCs w:val="0"/>
          <w:caps w:val="0"/>
          <w:color w:val="3D3D3D"/>
          <w:spacing w:val="0"/>
          <w:sz w:val="25"/>
          <w:szCs w:val="25"/>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楷体_GB2312" w:eastAsia="楷体_GB2312" w:cs="楷体_GB2312"/>
          <w:i w:val="0"/>
          <w:iCs w:val="0"/>
          <w:caps w:val="0"/>
          <w:color w:val="3D3D3D"/>
          <w:spacing w:val="0"/>
          <w:sz w:val="25"/>
          <w:szCs w:val="25"/>
          <w:bdr w:val="none" w:color="auto" w:sz="0" w:space="0"/>
          <w:shd w:val="clear" w:fill="FFFFFF"/>
        </w:rPr>
        <w:t>第二十七条</w:t>
      </w:r>
      <w:r>
        <w:rPr>
          <w:rFonts w:hint="default" w:ascii="仿宋_GB2312" w:eastAsia="仿宋_GB2312" w:cs="仿宋_GB2312"/>
          <w:i w:val="0"/>
          <w:iCs w:val="0"/>
          <w:caps w:val="0"/>
          <w:color w:val="3D3D3D"/>
          <w:spacing w:val="0"/>
          <w:sz w:val="25"/>
          <w:szCs w:val="25"/>
          <w:bdr w:val="none" w:color="auto" w:sz="0" w:space="0"/>
          <w:shd w:val="clear" w:fill="FFFFFF"/>
        </w:rPr>
        <w:t> 本办法自印发之日施行。有效期至</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2025</w:t>
      </w:r>
      <w:r>
        <w:rPr>
          <w:rFonts w:hint="default" w:ascii="仿宋_GB2312" w:eastAsia="仿宋_GB2312" w:cs="仿宋_GB2312"/>
          <w:i w:val="0"/>
          <w:iCs w:val="0"/>
          <w:caps w:val="0"/>
          <w:color w:val="3D3D3D"/>
          <w:spacing w:val="0"/>
          <w:sz w:val="25"/>
          <w:szCs w:val="25"/>
          <w:bdr w:val="none" w:color="auto" w:sz="0" w:space="0"/>
          <w:shd w:val="clear" w:fill="FFFFFF"/>
        </w:rPr>
        <w:t>年</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12</w:t>
      </w:r>
      <w:r>
        <w:rPr>
          <w:rFonts w:hint="default" w:ascii="仿宋_GB2312" w:eastAsia="仿宋_GB2312" w:cs="仿宋_GB2312"/>
          <w:i w:val="0"/>
          <w:iCs w:val="0"/>
          <w:caps w:val="0"/>
          <w:color w:val="3D3D3D"/>
          <w:spacing w:val="0"/>
          <w:sz w:val="25"/>
          <w:szCs w:val="25"/>
          <w:bdr w:val="none" w:color="auto" w:sz="0" w:space="0"/>
          <w:shd w:val="clear" w:fill="FFFFFF"/>
        </w:rPr>
        <w:t>月</w:t>
      </w:r>
      <w:r>
        <w:rPr>
          <w:rFonts w:hint="default" w:ascii="Times New Roman" w:hAnsi="Times New Roman" w:eastAsia="仿宋_GB2312" w:cs="Times New Roman"/>
          <w:i w:val="0"/>
          <w:iCs w:val="0"/>
          <w:caps w:val="0"/>
          <w:color w:val="3D3D3D"/>
          <w:spacing w:val="0"/>
          <w:sz w:val="25"/>
          <w:szCs w:val="25"/>
          <w:bdr w:val="none" w:color="auto" w:sz="0" w:space="0"/>
          <w:shd w:val="clear" w:fill="FFFFFF"/>
        </w:rPr>
        <w:t>31</w:t>
      </w:r>
      <w:r>
        <w:rPr>
          <w:rFonts w:hint="default" w:ascii="仿宋_GB2312" w:eastAsia="仿宋_GB2312" w:cs="仿宋_GB2312"/>
          <w:i w:val="0"/>
          <w:iCs w:val="0"/>
          <w:caps w:val="0"/>
          <w:color w:val="3D3D3D"/>
          <w:spacing w:val="0"/>
          <w:sz w:val="25"/>
          <w:szCs w:val="2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Times New Roman" w:hAnsi="Times New Roman" w:eastAsia="仿宋_GB2312" w:cs="Times New Roman"/>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default" w:ascii="仿宋_GB2312" w:eastAsia="仿宋_GB2312" w:cs="仿宋_GB2312"/>
          <w:i w:val="0"/>
          <w:iCs w:val="0"/>
          <w:caps w:val="0"/>
          <w:color w:val="3D3D3D"/>
          <w:spacing w:val="0"/>
          <w:sz w:val="25"/>
          <w:szCs w:val="25"/>
          <w:bdr w:val="none" w:color="auto" w:sz="0" w:space="0"/>
          <w:shd w:val="clear" w:fill="FFFFFF"/>
        </w:rPr>
        <w:t>附件：林业草原生态保护恢复资金区域绩效目标申报表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eastAsia" w:ascii="方正小标宋简体" w:hAnsi="方正小标宋简体" w:eastAsia="方正小标宋简体" w:cs="方正小标宋简体"/>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eastAsia" w:ascii="方正小标宋简体" w:hAnsi="方正小标宋简体" w:eastAsia="方正小标宋简体" w:cs="方正小标宋简体"/>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eastAsia" w:ascii="方正小标宋简体" w:hAnsi="方正小标宋简体" w:eastAsia="方正小标宋简体" w:cs="方正小标宋简体"/>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eastAsia" w:ascii="方正小标宋简体" w:hAnsi="方正小标宋简体" w:eastAsia="方正小标宋简体" w:cs="方正小标宋简体"/>
          <w:i w:val="0"/>
          <w:iCs w:val="0"/>
          <w:caps w:val="0"/>
          <w:color w:val="3D3D3D"/>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仿宋_GB2312" w:eastAsia="仿宋_GB2312" w:cs="仿宋_GB2312"/>
          <w:i w:val="0"/>
          <w:iCs w:val="0"/>
          <w:caps w:val="0"/>
          <w:color w:val="3D3D3D"/>
          <w:spacing w:val="0"/>
          <w:sz w:val="25"/>
          <w:szCs w:val="25"/>
        </w:rPr>
      </w:pPr>
      <w:r>
        <w:rPr>
          <w:rFonts w:hint="eastAsia" w:ascii="黑体" w:hAnsi="宋体" w:eastAsia="黑体" w:cs="黑体"/>
          <w:i w:val="0"/>
          <w:iCs w:val="0"/>
          <w:caps w:val="0"/>
          <w:color w:val="3D3D3D"/>
          <w:spacing w:val="0"/>
          <w:sz w:val="25"/>
          <w:szCs w:val="25"/>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16"/>
        <w:jc w:val="both"/>
        <w:rPr>
          <w:rFonts w:hint="default" w:ascii="仿宋_GB2312" w:eastAsia="仿宋_GB2312" w:cs="仿宋_GB2312"/>
          <w:i w:val="0"/>
          <w:iCs w:val="0"/>
          <w:caps w:val="0"/>
          <w:color w:val="3D3D3D"/>
          <w:spacing w:val="0"/>
          <w:sz w:val="25"/>
          <w:szCs w:val="25"/>
        </w:rPr>
      </w:pPr>
      <w:r>
        <w:rPr>
          <w:rFonts w:hint="eastAsia" w:ascii="方正小标宋简体" w:hAnsi="方正小标宋简体" w:eastAsia="方正小标宋简体" w:cs="方正小标宋简体"/>
          <w:i w:val="0"/>
          <w:iCs w:val="0"/>
          <w:caps w:val="0"/>
          <w:color w:val="3D3D3D"/>
          <w:spacing w:val="0"/>
          <w:sz w:val="25"/>
          <w:szCs w:val="25"/>
          <w:bdr w:val="none" w:color="auto" w:sz="0" w:space="0"/>
          <w:shd w:val="clear" w:fill="FFFFFF"/>
        </w:rPr>
        <w:t>林业草原生态保护恢复资金区域绩效目标申报表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348"/>
        <w:jc w:val="center"/>
        <w:rPr>
          <w:rFonts w:hint="default" w:ascii="仿宋_GB2312" w:eastAsia="仿宋_GB2312" w:cs="仿宋_GB2312"/>
          <w:i w:val="0"/>
          <w:iCs w:val="0"/>
          <w:caps w:val="0"/>
          <w:color w:val="3D3D3D"/>
          <w:spacing w:val="0"/>
          <w:sz w:val="25"/>
          <w:szCs w:val="25"/>
        </w:rPr>
      </w:pPr>
      <w:r>
        <w:rPr>
          <w:rFonts w:ascii="楷体" w:hAnsi="楷体" w:eastAsia="楷体" w:cs="楷体"/>
          <w:i w:val="0"/>
          <w:iCs w:val="0"/>
          <w:caps w:val="0"/>
          <w:color w:val="3D3D3D"/>
          <w:spacing w:val="0"/>
          <w:sz w:val="18"/>
          <w:szCs w:val="18"/>
          <w:bdr w:val="none" w:color="auto" w:sz="0" w:space="0"/>
          <w:shd w:val="clear" w:fill="FFFFFF"/>
        </w:rPr>
        <w:t>（xx年度）</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8"/>
        <w:gridCol w:w="1092"/>
        <w:gridCol w:w="1068"/>
        <w:gridCol w:w="3624"/>
        <w:gridCol w:w="157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6" w:hRule="atLeast"/>
          <w:jc w:val="center"/>
        </w:trPr>
        <w:tc>
          <w:tcPr>
            <w:tcW w:w="2868" w:type="dxa"/>
            <w:gridSpan w:val="3"/>
            <w:tcBorders>
              <w:top w:val="single" w:color="auto" w:sz="4" w:space="0"/>
              <w:left w:val="single" w:color="auto" w:sz="4" w:space="0"/>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资金名称</w:t>
            </w:r>
          </w:p>
        </w:tc>
        <w:tc>
          <w:tcPr>
            <w:tcW w:w="5196" w:type="dxa"/>
            <w:gridSpan w:val="2"/>
            <w:tcBorders>
              <w:top w:val="single" w:color="auto" w:sz="4" w:space="0"/>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林业草原生态保护恢复资金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868" w:type="dxa"/>
            <w:gridSpan w:val="3"/>
            <w:tcBorders>
              <w:top w:val="nil"/>
              <w:left w:val="single" w:color="auto" w:sz="4" w:space="0"/>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市级主管部门</w:t>
            </w:r>
          </w:p>
        </w:tc>
        <w:tc>
          <w:tcPr>
            <w:tcW w:w="5196" w:type="dxa"/>
            <w:gridSpan w:val="2"/>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市财政局、市规划资源局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2868" w:type="dxa"/>
            <w:gridSpan w:val="3"/>
            <w:tcBorders>
              <w:top w:val="nil"/>
              <w:left w:val="single" w:color="auto" w:sz="4" w:space="0"/>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市级补助年度金额（万元）</w:t>
            </w:r>
          </w:p>
        </w:tc>
        <w:tc>
          <w:tcPr>
            <w:tcW w:w="5196" w:type="dxa"/>
            <w:gridSpan w:val="2"/>
            <w:tcBorders>
              <w:top w:val="nil"/>
              <w:left w:val="nil"/>
              <w:bottom w:val="single" w:color="auto" w:sz="4" w:space="0"/>
              <w:right w:val="single" w:color="auto" w:sz="4" w:space="0"/>
            </w:tcBorders>
            <w:shd w:val="clear"/>
            <w:tcMar>
              <w:left w:w="12" w:type="dxa"/>
              <w:right w:w="12"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77" w:hRule="atLeast"/>
          <w:jc w:val="center"/>
        </w:trPr>
        <w:tc>
          <w:tcPr>
            <w:tcW w:w="708" w:type="dxa"/>
            <w:tcBorders>
              <w:top w:val="nil"/>
              <w:left w:val="single" w:color="auto" w:sz="4" w:space="0"/>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14"/>
                <w:szCs w:val="14"/>
                <w:bdr w:val="none" w:color="auto" w:sz="0" w:space="0"/>
              </w:rPr>
              <w:t>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14"/>
                <w:szCs w:val="14"/>
                <w:bdr w:val="none" w:color="auto" w:sz="0" w:space="0"/>
              </w:rPr>
              <w:t>目标</w:t>
            </w:r>
          </w:p>
        </w:tc>
        <w:tc>
          <w:tcPr>
            <w:tcW w:w="7356" w:type="dxa"/>
            <w:gridSpan w:val="4"/>
            <w:tcBorders>
              <w:top w:val="nil"/>
              <w:left w:val="nil"/>
              <w:bottom w:val="single" w:color="auto" w:sz="4" w:space="0"/>
              <w:right w:val="single" w:color="auto" w:sz="4" w:space="0"/>
            </w:tcBorders>
            <w:shd w:val="clear"/>
            <w:tcMar>
              <w:left w:w="12" w:type="dxa"/>
              <w:right w:w="12"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both"/>
            </w:pPr>
            <w:r>
              <w:rPr>
                <w:rFonts w:hint="eastAsia" w:ascii="宋体" w:hAnsi="宋体" w:eastAsia="宋体" w:cs="宋体"/>
                <w:sz w:val="14"/>
                <w:szCs w:val="14"/>
                <w:bdr w:val="none" w:color="auto" w:sz="0" w:space="0"/>
              </w:rPr>
              <w:t>支持国家级自然保护区开展能力建设和湿地保护修复，提高珍稀濒危野生动植物保护能力，生物多样性明显增加；天然林资源从恢复性增长进一步向提高质量转变，林区经济社会发展由稳步复苏向进一步和谐发展转变，确保林区社会和谐稳定；加强生态护林员选聘和管理，相关任务经检查验收达到合格标准，资金使用规范。国家公园支出绩效目标另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6" w:hRule="atLeast"/>
          <w:jc w:val="center"/>
        </w:trPr>
        <w:tc>
          <w:tcPr>
            <w:tcW w:w="708" w:type="dxa"/>
            <w:vMerge w:val="restart"/>
            <w:tcBorders>
              <w:top w:val="nil"/>
              <w:left w:val="single" w:color="auto" w:sz="4" w:space="0"/>
              <w:bottom w:val="single" w:color="auto" w:sz="4" w:space="0"/>
              <w:right w:val="single" w:color="auto" w:sz="4" w:space="0"/>
            </w:tcBorders>
            <w:shd w:val="clear"/>
            <w:tcMar>
              <w:left w:w="12" w:type="dxa"/>
              <w:right w:w="12"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108" w:beforeAutospacing="0" w:after="0" w:afterAutospacing="0" w:line="480" w:lineRule="atLeast"/>
              <w:ind w:left="0" w:right="0" w:firstLine="288"/>
              <w:jc w:val="both"/>
            </w:pPr>
            <w:r>
              <w:rPr>
                <w:rFonts w:hint="eastAsia" w:ascii="宋体" w:hAnsi="宋体" w:eastAsia="宋体" w:cs="宋体"/>
                <w:sz w:val="14"/>
                <w:szCs w:val="14"/>
                <w:bdr w:val="none" w:color="auto" w:sz="0" w:space="0"/>
              </w:rPr>
              <w:t>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both"/>
            </w:pPr>
            <w:r>
              <w:rPr>
                <w:rFonts w:hint="eastAsia" w:ascii="宋体" w:hAnsi="宋体" w:eastAsia="宋体" w:cs="宋体"/>
                <w:sz w:val="14"/>
                <w:szCs w:val="14"/>
                <w:bdr w:val="none" w:color="auto" w:sz="0" w:space="0"/>
              </w:rPr>
              <w:t>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both"/>
            </w:pPr>
            <w:r>
              <w:rPr>
                <w:rFonts w:hint="eastAsia" w:ascii="宋体" w:hAnsi="宋体" w:eastAsia="宋体" w:cs="宋体"/>
                <w:sz w:val="14"/>
                <w:szCs w:val="14"/>
                <w:bdr w:val="none" w:color="auto" w:sz="0" w:space="0"/>
              </w:rPr>
              <w:t>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both"/>
            </w:pPr>
            <w:r>
              <w:rPr>
                <w:rFonts w:hint="eastAsia" w:ascii="宋体" w:hAnsi="宋体" w:eastAsia="宋体" w:cs="宋体"/>
                <w:sz w:val="14"/>
                <w:szCs w:val="14"/>
                <w:bdr w:val="none" w:color="auto" w:sz="0" w:space="0"/>
              </w:rPr>
              <w:t>标</w:t>
            </w:r>
          </w:p>
        </w:tc>
        <w:tc>
          <w:tcPr>
            <w:tcW w:w="1092" w:type="dxa"/>
            <w:tcBorders>
              <w:top w:val="nil"/>
              <w:left w:val="nil"/>
              <w:bottom w:val="single" w:color="auto" w:sz="4" w:space="0"/>
              <w:right w:val="single" w:color="auto" w:sz="4" w:space="0"/>
            </w:tcBorders>
            <w:shd w:val="clear"/>
            <w:tcMar>
              <w:left w:w="12" w:type="dxa"/>
              <w:right w:w="12"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both"/>
            </w:pPr>
            <w:r>
              <w:rPr>
                <w:rFonts w:hint="eastAsia" w:ascii="宋体" w:hAnsi="宋体" w:eastAsia="宋体" w:cs="宋体"/>
                <w:sz w:val="14"/>
                <w:szCs w:val="14"/>
                <w:bdr w:val="none" w:color="auto" w:sz="0" w:space="0"/>
              </w:rPr>
              <w:t>一级指标</w:t>
            </w:r>
          </w:p>
        </w:tc>
        <w:tc>
          <w:tcPr>
            <w:tcW w:w="1068"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both"/>
            </w:pPr>
            <w:r>
              <w:rPr>
                <w:rFonts w:hint="eastAsia" w:ascii="宋体" w:hAnsi="宋体" w:eastAsia="宋体" w:cs="宋体"/>
                <w:sz w:val="14"/>
                <w:szCs w:val="14"/>
                <w:bdr w:val="none" w:color="auto" w:sz="0" w:space="0"/>
              </w:rPr>
              <w:t>二级指标</w:t>
            </w: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三级指标</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指标值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restart"/>
            <w:tcBorders>
              <w:top w:val="nil"/>
              <w:left w:val="nil"/>
              <w:bottom w:val="single" w:color="auto" w:sz="4" w:space="0"/>
              <w:right w:val="single" w:color="auto" w:sz="4" w:space="0"/>
            </w:tcBorders>
            <w:shd w:val="clear"/>
            <w:tcMar>
              <w:left w:w="12" w:type="dxa"/>
              <w:right w:w="12"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980" w:beforeAutospacing="0" w:after="0" w:afterAutospacing="0" w:line="480" w:lineRule="atLeast"/>
              <w:ind w:left="0" w:right="0" w:firstLine="288"/>
              <w:jc w:val="both"/>
            </w:pPr>
            <w:r>
              <w:rPr>
                <w:rFonts w:hint="eastAsia" w:ascii="宋体" w:hAnsi="宋体" w:eastAsia="宋体" w:cs="宋体"/>
                <w:sz w:val="14"/>
                <w:szCs w:val="14"/>
                <w:bdr w:val="none" w:color="auto" w:sz="0" w:space="0"/>
              </w:rPr>
              <w:t>产出指标</w:t>
            </w:r>
          </w:p>
        </w:tc>
        <w:tc>
          <w:tcPr>
            <w:tcW w:w="1068" w:type="dxa"/>
            <w:vMerge w:val="restart"/>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60" w:beforeAutospacing="0" w:after="0" w:afterAutospacing="0" w:line="480" w:lineRule="atLeast"/>
              <w:ind w:left="0" w:right="0"/>
              <w:jc w:val="center"/>
            </w:pPr>
            <w:r>
              <w:rPr>
                <w:rFonts w:hint="eastAsia" w:ascii="宋体" w:hAnsi="宋体" w:eastAsia="宋体" w:cs="宋体"/>
                <w:sz w:val="14"/>
                <w:szCs w:val="14"/>
                <w:bdr w:val="none" w:color="auto" w:sz="0" w:space="0"/>
              </w:rPr>
              <w:t>数量指标</w:t>
            </w: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国家级自然保护区数量（个）</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continue"/>
            <w:tcBorders>
              <w:top w:val="nil"/>
              <w:left w:val="nil"/>
              <w:bottom w:val="single" w:color="auto" w:sz="4" w:space="0"/>
              <w:right w:val="single" w:color="auto" w:sz="4" w:space="0"/>
            </w:tcBorders>
            <w:shd w:val="clear"/>
            <w:tcMar>
              <w:left w:w="12" w:type="dxa"/>
              <w:right w:w="12" w:type="dxa"/>
            </w:tcMar>
            <w:vAlign w:val="center"/>
          </w:tcPr>
          <w:p>
            <w:pPr>
              <w:rPr>
                <w:rFonts w:hint="eastAsia" w:ascii="宋体"/>
                <w:sz w:val="24"/>
                <w:szCs w:val="24"/>
              </w:rPr>
            </w:pP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湿地保护与恢复项目数量（个）</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continue"/>
            <w:tcBorders>
              <w:top w:val="nil"/>
              <w:left w:val="nil"/>
              <w:bottom w:val="single" w:color="auto" w:sz="4" w:space="0"/>
              <w:right w:val="single" w:color="auto" w:sz="4" w:space="0"/>
            </w:tcBorders>
            <w:shd w:val="clear"/>
            <w:tcMar>
              <w:left w:w="12" w:type="dxa"/>
              <w:right w:w="12" w:type="dxa"/>
            </w:tcMar>
            <w:vAlign w:val="center"/>
          </w:tcPr>
          <w:p>
            <w:pPr>
              <w:rPr>
                <w:rFonts w:hint="eastAsia" w:ascii="宋体"/>
                <w:sz w:val="24"/>
                <w:szCs w:val="24"/>
              </w:rPr>
            </w:pP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纳入湿地生态保护补偿补助的湿地数量（个）</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continue"/>
            <w:tcBorders>
              <w:top w:val="nil"/>
              <w:left w:val="nil"/>
              <w:bottom w:val="single" w:color="auto" w:sz="4" w:space="0"/>
              <w:right w:val="single" w:color="auto" w:sz="4" w:space="0"/>
            </w:tcBorders>
            <w:shd w:val="clear"/>
            <w:tcMar>
              <w:left w:w="12" w:type="dxa"/>
              <w:right w:w="12" w:type="dxa"/>
            </w:tcMar>
            <w:vAlign w:val="center"/>
          </w:tcPr>
          <w:p>
            <w:pPr>
              <w:rPr>
                <w:rFonts w:hint="eastAsia" w:ascii="宋体"/>
                <w:sz w:val="24"/>
                <w:szCs w:val="24"/>
              </w:rPr>
            </w:pP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国家重点保护野生动植物种数保护率（％）</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continue"/>
            <w:tcBorders>
              <w:top w:val="nil"/>
              <w:left w:val="nil"/>
              <w:bottom w:val="single" w:color="auto" w:sz="4" w:space="0"/>
              <w:right w:val="single" w:color="auto" w:sz="4" w:space="0"/>
            </w:tcBorders>
            <w:shd w:val="clear"/>
            <w:tcMar>
              <w:left w:w="12" w:type="dxa"/>
              <w:right w:w="12" w:type="dxa"/>
            </w:tcMar>
            <w:vAlign w:val="center"/>
          </w:tcPr>
          <w:p>
            <w:pPr>
              <w:rPr>
                <w:rFonts w:hint="eastAsia" w:ascii="宋体"/>
                <w:sz w:val="24"/>
                <w:szCs w:val="24"/>
              </w:rPr>
            </w:pP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国有林管护面积（万亩）</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continue"/>
            <w:tcBorders>
              <w:top w:val="nil"/>
              <w:left w:val="nil"/>
              <w:bottom w:val="single" w:color="auto" w:sz="4" w:space="0"/>
              <w:right w:val="single" w:color="auto" w:sz="4" w:space="0"/>
            </w:tcBorders>
            <w:shd w:val="clear"/>
            <w:tcMar>
              <w:left w:w="12" w:type="dxa"/>
              <w:right w:w="12" w:type="dxa"/>
            </w:tcMar>
            <w:vAlign w:val="center"/>
          </w:tcPr>
          <w:p>
            <w:pPr>
              <w:rPr>
                <w:rFonts w:hint="eastAsia" w:ascii="宋体"/>
                <w:sz w:val="24"/>
                <w:szCs w:val="24"/>
              </w:rPr>
            </w:pP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国有林修复面积（万亩）</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continue"/>
            <w:tcBorders>
              <w:top w:val="nil"/>
              <w:left w:val="nil"/>
              <w:bottom w:val="single" w:color="auto" w:sz="4" w:space="0"/>
              <w:right w:val="single" w:color="auto" w:sz="4" w:space="0"/>
            </w:tcBorders>
            <w:shd w:val="clear"/>
            <w:tcMar>
              <w:left w:w="12" w:type="dxa"/>
              <w:right w:w="12" w:type="dxa"/>
            </w:tcMar>
            <w:vAlign w:val="center"/>
          </w:tcPr>
          <w:p>
            <w:pPr>
              <w:rPr>
                <w:rFonts w:hint="eastAsia" w:ascii="宋体"/>
                <w:sz w:val="24"/>
                <w:szCs w:val="24"/>
              </w:rPr>
            </w:pP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聘用生态护林员人数（人）</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restart"/>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14"/>
                <w:szCs w:val="14"/>
                <w:bdr w:val="none" w:color="auto" w:sz="0" w:space="0"/>
              </w:rPr>
              <w:t>质量指标</w:t>
            </w: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天然乔木林蓄积量增长情况</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持续增长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continue"/>
            <w:tcBorders>
              <w:top w:val="nil"/>
              <w:left w:val="nil"/>
              <w:bottom w:val="single" w:color="auto" w:sz="4" w:space="0"/>
              <w:right w:val="single" w:color="auto" w:sz="4" w:space="0"/>
            </w:tcBorders>
            <w:shd w:val="clear"/>
            <w:tcMar>
              <w:left w:w="12" w:type="dxa"/>
              <w:right w:w="12" w:type="dxa"/>
            </w:tcMar>
            <w:vAlign w:val="center"/>
          </w:tcPr>
          <w:p>
            <w:pPr>
              <w:rPr>
                <w:rFonts w:hint="eastAsia" w:ascii="宋体"/>
                <w:sz w:val="24"/>
                <w:szCs w:val="24"/>
              </w:rPr>
            </w:pP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国有林修复合格率（％）</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bdr w:val="none" w:color="auto" w:sz="0" w:space="0"/>
              </w:rPr>
              <w:t>≥90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restart"/>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14"/>
                <w:szCs w:val="14"/>
                <w:bdr w:val="none" w:color="auto" w:sz="0" w:space="0"/>
              </w:rPr>
              <w:t>时效指标</w:t>
            </w: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生态护林员补助兑现率（％）</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bdr w:val="none" w:color="auto" w:sz="0" w:space="0"/>
              </w:rPr>
              <w:t>≥90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continue"/>
            <w:tcBorders>
              <w:top w:val="nil"/>
              <w:left w:val="nil"/>
              <w:bottom w:val="single" w:color="auto" w:sz="4" w:space="0"/>
              <w:right w:val="single" w:color="auto" w:sz="4" w:space="0"/>
            </w:tcBorders>
            <w:shd w:val="clear"/>
            <w:tcMar>
              <w:left w:w="12" w:type="dxa"/>
              <w:right w:w="12" w:type="dxa"/>
            </w:tcMar>
            <w:vAlign w:val="center"/>
          </w:tcPr>
          <w:p>
            <w:pPr>
              <w:rPr>
                <w:rFonts w:hint="eastAsia" w:ascii="宋体"/>
                <w:sz w:val="24"/>
                <w:szCs w:val="24"/>
              </w:rPr>
            </w:pP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国有林保护修复当期任务完成率（％）</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bdr w:val="none" w:color="auto" w:sz="0" w:space="0"/>
              </w:rPr>
              <w:t>≥90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restart"/>
            <w:tcBorders>
              <w:top w:val="nil"/>
              <w:left w:val="nil"/>
              <w:bottom w:val="single" w:color="auto" w:sz="4" w:space="0"/>
              <w:right w:val="single" w:color="auto" w:sz="4" w:space="0"/>
            </w:tcBorders>
            <w:shd w:val="clear"/>
            <w:tcMar>
              <w:left w:w="12" w:type="dxa"/>
              <w:right w:w="12"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64" w:beforeAutospacing="0" w:after="0" w:afterAutospacing="0" w:line="480" w:lineRule="atLeast"/>
              <w:ind w:left="0" w:right="0" w:firstLine="144"/>
              <w:jc w:val="both"/>
            </w:pPr>
            <w:r>
              <w:rPr>
                <w:rFonts w:hint="eastAsia" w:ascii="宋体" w:hAnsi="宋体" w:eastAsia="宋体" w:cs="宋体"/>
                <w:sz w:val="14"/>
                <w:szCs w:val="14"/>
                <w:bdr w:val="none" w:color="auto" w:sz="0" w:space="0"/>
              </w:rPr>
              <w:t>效益指标</w:t>
            </w:r>
          </w:p>
        </w:tc>
        <w:tc>
          <w:tcPr>
            <w:tcW w:w="1068" w:type="dxa"/>
            <w:vMerge w:val="restart"/>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14"/>
                <w:szCs w:val="14"/>
                <w:bdr w:val="none" w:color="auto" w:sz="0" w:space="0"/>
              </w:rPr>
              <w:t>生态效益指标</w:t>
            </w: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生态系统和生物多样性</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得到有效保护</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vMerge w:val="continue"/>
            <w:tcBorders>
              <w:top w:val="nil"/>
              <w:left w:val="nil"/>
              <w:bottom w:val="single" w:color="auto" w:sz="4" w:space="0"/>
              <w:right w:val="single" w:color="auto" w:sz="4" w:space="0"/>
            </w:tcBorders>
            <w:shd w:val="clear"/>
            <w:tcMar>
              <w:left w:w="12" w:type="dxa"/>
              <w:right w:w="12" w:type="dxa"/>
            </w:tcMar>
            <w:vAlign w:val="center"/>
          </w:tcPr>
          <w:p>
            <w:pPr>
              <w:rPr>
                <w:rFonts w:hint="eastAsia" w:ascii="宋体"/>
                <w:sz w:val="24"/>
                <w:szCs w:val="24"/>
              </w:rPr>
            </w:pP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森林、湿地生态系统生态效益发挥</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明显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14"/>
                <w:szCs w:val="14"/>
                <w:bdr w:val="none" w:color="auto" w:sz="0" w:space="0"/>
              </w:rPr>
              <w:t>社会效益指标</w:t>
            </w: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国家级自然保护区保护和管理能力</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明显提升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08"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vMerge w:val="continue"/>
            <w:tcBorders>
              <w:top w:val="nil"/>
              <w:left w:val="nil"/>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68"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14"/>
                <w:szCs w:val="14"/>
                <w:bdr w:val="none" w:color="auto" w:sz="0" w:space="0"/>
              </w:rPr>
              <w:t>可持续影响指标</w:t>
            </w: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持续发挥生态作用</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显著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708" w:type="dxa"/>
            <w:vMerge w:val="continue"/>
            <w:tcBorders>
              <w:top w:val="nil"/>
              <w:left w:val="single" w:color="auto" w:sz="4" w:space="0"/>
              <w:bottom w:val="single" w:color="auto" w:sz="4" w:space="0"/>
              <w:right w:val="single" w:color="auto" w:sz="4" w:space="0"/>
            </w:tcBorders>
            <w:shd w:val="clear"/>
            <w:tcMar>
              <w:left w:w="12" w:type="dxa"/>
              <w:right w:w="12" w:type="dxa"/>
            </w:tcMar>
            <w:vAlign w:val="top"/>
          </w:tcPr>
          <w:p>
            <w:pPr>
              <w:rPr>
                <w:rFonts w:hint="eastAsia" w:ascii="宋体"/>
                <w:sz w:val="24"/>
                <w:szCs w:val="24"/>
              </w:rPr>
            </w:pPr>
          </w:p>
        </w:tc>
        <w:tc>
          <w:tcPr>
            <w:tcW w:w="1092" w:type="dxa"/>
            <w:tcBorders>
              <w:top w:val="nil"/>
              <w:left w:val="nil"/>
              <w:bottom w:val="single" w:color="auto" w:sz="4" w:space="0"/>
              <w:right w:val="single" w:color="auto" w:sz="4" w:space="0"/>
            </w:tcBorders>
            <w:shd w:val="clear"/>
            <w:tcMar>
              <w:left w:w="12" w:type="dxa"/>
              <w:right w:w="12"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480" w:lineRule="atLeast"/>
              <w:ind w:left="0" w:right="0" w:firstLine="144"/>
              <w:jc w:val="both"/>
            </w:pPr>
            <w:r>
              <w:rPr>
                <w:rFonts w:hint="eastAsia" w:ascii="宋体" w:hAnsi="宋体" w:eastAsia="宋体" w:cs="宋体"/>
                <w:sz w:val="14"/>
                <w:szCs w:val="14"/>
                <w:bdr w:val="none" w:color="auto" w:sz="0" w:space="0"/>
              </w:rPr>
              <w:t>满意度指标</w:t>
            </w:r>
          </w:p>
        </w:tc>
        <w:tc>
          <w:tcPr>
            <w:tcW w:w="1068"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14"/>
                <w:szCs w:val="14"/>
                <w:bdr w:val="none" w:color="auto" w:sz="0" w:space="0"/>
              </w:rPr>
              <w:t>服务对象满意度指标</w:t>
            </w:r>
          </w:p>
        </w:tc>
        <w:tc>
          <w:tcPr>
            <w:tcW w:w="3624"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rFonts w:hint="eastAsia" w:ascii="宋体" w:hAnsi="宋体" w:eastAsia="宋体" w:cs="宋体"/>
                <w:sz w:val="14"/>
                <w:szCs w:val="14"/>
                <w:bdr w:val="none" w:color="auto" w:sz="0" w:space="0"/>
              </w:rPr>
              <w:t>林区职工及周边群众满意度（％）</w:t>
            </w:r>
          </w:p>
        </w:tc>
        <w:tc>
          <w:tcPr>
            <w:tcW w:w="1572" w:type="dxa"/>
            <w:tcBorders>
              <w:top w:val="nil"/>
              <w:left w:val="nil"/>
              <w:bottom w:val="single" w:color="auto" w:sz="4" w:space="0"/>
              <w:right w:val="single" w:color="auto" w:sz="4" w:space="0"/>
            </w:tcBorders>
            <w:shd w:val="clear"/>
            <w:tcMar>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88"/>
              <w:jc w:val="center"/>
            </w:pPr>
            <w:r>
              <w:rPr>
                <w:bdr w:val="none" w:color="auto" w:sz="0" w:space="0"/>
              </w:rPr>
              <w:t>≥85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BF9DAE-CFC5-4EB2-B79B-09BFF7CD2F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embedRegular r:id="rId2" w:fontKey="{079EFB49-5C58-46A8-83CB-668F81E7E348}"/>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A60E0187-7DFB-41F5-8785-2FCE078AD211}"/>
  </w:font>
  <w:font w:name="楷体_GB2312">
    <w:altName w:val="楷体"/>
    <w:panose1 w:val="00000000000000000000"/>
    <w:charset w:val="00"/>
    <w:family w:val="auto"/>
    <w:pitch w:val="default"/>
    <w:sig w:usb0="00000000" w:usb1="00000000" w:usb2="00000000" w:usb3="00000000" w:csb0="00000000" w:csb1="00000000"/>
    <w:embedRegular r:id="rId4" w:fontKey="{359309A2-EE86-46FE-8BB9-139D87706D78}"/>
  </w:font>
  <w:font w:name="楷体">
    <w:panose1 w:val="02010609060101010101"/>
    <w:charset w:val="86"/>
    <w:family w:val="auto"/>
    <w:pitch w:val="default"/>
    <w:sig w:usb0="800002BF" w:usb1="38CF7CFA" w:usb2="00000016" w:usb3="00000000" w:csb0="00040001" w:csb1="00000000"/>
    <w:embedRegular r:id="rId5" w:fontKey="{EBF39C36-CF30-4592-A497-24C0FE0821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NDBkMDM3ZThhMzY5NWMwM2UyOWJiOTFjYTkzYmUifQ=="/>
  </w:docVars>
  <w:rsids>
    <w:rsidRoot w:val="63D13167"/>
    <w:rsid w:val="63D1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2023-11-23T01:12:00Z</dcterms:created>
  <dc:creator>LFA</dc:creator>
  <cp:lastModifiedBy>LFA</cp:lastModifiedBy>
  <dcterms:modified xsi:type="dcterms:W3CDTF">2023-11-23T01:13:35Z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0D99A91F54884C749613E7CD7683E69E_11</vt:lpwstr>
  </property>
</Properties>
</file>