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center"/>
        <w:rPr>
          <w:rFonts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津财规〔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2023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14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各区财政局：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516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为规范我市政府采购行政处罚裁量权行使，更好保护政府采购当事人的合法权益，根据《中华人民共和国行政处罚法》《中华人民共和国政府采购法》等法律法规规章，结合工作实际，我们制定了《天津市财政行政处罚裁量权基准（政府采购类）》及其适用规则，现予以印发，各区财政局可参照适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516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516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附件：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1.</w:t>
      </w: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天津市财政行政处罚裁量权基准（政府采购类）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1284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2.</w:t>
      </w: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天津市财政行政处罚裁量权基准适用规则（政府采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1284" w:right="0" w:firstLine="252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购类）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516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516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516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516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                          2023</w:t>
      </w: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12</w:t>
      </w: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28</w:t>
      </w: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日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516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（此件</w:t>
      </w:r>
      <w:bookmarkStart w:id="0" w:name="list1"/>
      <w:bookmarkEnd w:id="0"/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5"/>
          <w:szCs w:val="25"/>
          <w:bdr w:val="none" w:color="auto" w:sz="0" w:space="0"/>
          <w:shd w:val="clear" w:fill="FFFFFF"/>
        </w:rPr>
        <w:t>主动公开）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NDBkMDM3ZThhMzY5NWMwM2UyOWJiOTFjYTkzYmUifQ=="/>
  </w:docVars>
  <w:rsids>
    <w:rsidRoot w:val="00000000"/>
    <w:rsid w:val="7C0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2024-01-12T08:37:42Z</dcterms:created>
  <dc:creator>TeddyNiu</dc:creator>
  <cp:lastModifiedBy>LFA</cp:lastModifiedBy>
  <dcterms:modified xsi:type="dcterms:W3CDTF">2024-01-12T08:37:48Z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5518BA9F91C54A96BE42E43431BDBC30_12</vt:lpwstr>
  </property>
</Properties>
</file>