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hint="default" w:ascii="方正仿宋_GBK" w:hAnsi="方正仿宋_GBK" w:eastAsia="方正仿宋_GBK" w:cs="方正仿宋_GBK"/>
          <w:color w:val="000000"/>
          <w:sz w:val="28"/>
          <w:lang w:val="e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.区委办业务工作专项经费绩效目标表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501101中国共产党天津市滨海新区委员会办公室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区委办业务工作专项经费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1600000.00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1600000.00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通过保障区委会议高效、正常召开以及会议无纸化改造，保障区委领导春节慰问活动，保障档案、国安等培训工作如期举行，达到保障区委各项工作顺利开展的工作目标。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1.通过保障区委会议高效、正常召开以及会议无纸化改造，保障区委领导春节慰问活动，保障档案、国安等培训工作如期举行，达到保障区委各项工作顺利开展的工作目标。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无纸化会议系统终端政府采购数量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无纸化会议系统终端政府采购数量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会议及大型活动次数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会议及大型活动次数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培训班次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培训班次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慰问金发放单位数量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慰问金发放单位数量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培训出勤率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会议及大型活动频数达标率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会议及大型活动频数达标率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无纸化会议系统终端设备质量合格率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无纸化会议系统终端设备质量合格率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慰问金少发、错发、漏发发生率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慰问金少发、错发、漏发发生率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会议及大型活动计划按期完成率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会议及大型活动计划按期完成率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无纸化会议系统终端购置设备及时率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无纸化会议系统终端购置设备及时率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人均会议及大型活动成本控制率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人均会议及大型活动成本控制率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人均培训成本控制率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人均培训成本控制率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无纸化会议系统终端购置设备单价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无纸化会议系统终端购置设备单价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≤0.8万元/台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慰问金发放标准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慰问金发放标准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无纸化会议系统终端设备采购经济性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无纸化会议系统终端设备采购经济性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实际采购价格低于预算价格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培训考试优秀率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培训考试优秀率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会议及大型活动成果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会议及大型活动成果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充分发挥会议及大型活动对全区各项工作的指导和带动作用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为开展春节期间慰问活动提供资金保障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为开展春节期间慰问活动提供资金保障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被培训对象满意度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被培训对象满意度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参加会议和大型活动人员满意度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参加会议和大型活动人员满意度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无纸化会议系统终端使用人员满意度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无纸化会议系统终端使用人员满意度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被慰问人员满意度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被慰问人员满意度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hint="default" w:ascii="方正仿宋_GBK" w:hAnsi="方正仿宋_GBK" w:eastAsia="方正仿宋_GBK" w:cs="方正仿宋_GBK"/>
          <w:color w:val="000000"/>
          <w:sz w:val="28"/>
          <w:lang w:val="en"/>
        </w:rPr>
        <w:t>2</w:t>
      </w:r>
      <w:bookmarkStart w:id="0" w:name="_GoBack"/>
      <w:bookmarkEnd w:id="0"/>
      <w:r>
        <w:rPr>
          <w:rFonts w:ascii="方正仿宋_GBK" w:hAnsi="方正仿宋_GBK" w:eastAsia="方正仿宋_GBK" w:cs="方正仿宋_GBK"/>
          <w:color w:val="000000"/>
          <w:sz w:val="28"/>
        </w:rPr>
        <w:t>.新增一般债券项目应付利息绩效目标表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501101中国共产党天津市滨海新区委员会办公室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新增一般债券项目应付利息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2753500.00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2753500.00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按时完成债券利息支付，保障债券顺利发行，满足政府资金需求。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1.通过按时完成债券利息支付，保障债券顺利发行，满足政府资金需求。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正常还本付息项目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正常还本付息项目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利息支付误差率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利息支付误差率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利息支付完成时间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利息支付完成时间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2024年12月28日之前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利息支付金额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利息支付金额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2753500元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有效保障政府资金需求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有效保障政府资金需求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319E4966"/>
    <w:rsid w:val="7EDDF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next w:val="1"/>
    <w:qFormat/>
    <w:uiPriority w:val="0"/>
    <w:pPr>
      <w:ind w:left="240"/>
    </w:p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2024-01-16T20:05:00Z</dcterms:created>
  <dc:creator>Administrator</dc:creator>
  <cp:lastModifiedBy>kylin</cp:lastModifiedBy>
  <dcterms:modified xsi:type="dcterms:W3CDTF">2024-02-01T12:35:36Z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718FFA06672D4F4185C32B9790CFA59A_12</vt:lpwstr>
  </property>
</Properties>
</file>