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1.2025年派遣制人员工资绩效目标表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571301天津市滨海新区红十字会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2025年派遣制人员工资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238880.00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238880.00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用于支付派遣制人员工资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1.通过派遣制人员加入应急救护培训基地救护师资队伍，提高应急救护培训基地管理及设备维护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聘用人员数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聘用人员数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4人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工作人员人数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反映区红十字会在编、派遣员工数量情况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≥13人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员工年度考核合格率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反映派遣制员工服务的质量情况，参考季度考核与年度考核结果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员工工资支付及时率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反映员工工资支付的时间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收到发票后15个工作日内支付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派遣制员工人均工资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反映派遣制员工人均工资的成本控制情况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≤5.97万元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有效保障基地正常使用率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反映派遣制员工服务是否有效保障部门正常运转的社会效益情况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学员满意度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通过调查问卷，反映派遣制人员服务的满意程度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2.2025年区红十字会应急救护培训基地业务用房运行保障绩效目标表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571301天津市滨海新区红十字会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2025年区红十字会应急救护培训基地业务用房运行保障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200000.00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用于应急救护培训基地业务用房水电物业采暖费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1.通过缴纳培训基地用房物业、电费、水费及采暖费等费用，保障培训基地正常使用。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培训基地用房数量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培训基地用房数量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基地安全事故率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反映基地安全工作的质量情况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物业服务保障时间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反映物业服务工作完成的及时情况，即合同12个服务条款的完成情况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2025年全年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电费收费标准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反映培训基地业务用房经费的成本控制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≤0.77元/千瓦时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水费收费标准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反映培训基地业务用房经费的成本控制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≤7.9元/立方米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物业费收费标准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反映培训基地业务用房经费的成本控制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≤9639.2元/月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采暖费收费标准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反映培训基地业务用房经费的成本控制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≤40元/平方米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应急救护场所正常使用率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确保应急救护培训所需场所正常使用时间占全年的比率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基地员工满意度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通过调查问卷，反映基地员工对救护培训基地运行的满意程度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3.2025年市会拨付造干项目款（自有资金）（其他收入资金）绩效目标表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571301天津市滨海新区红十字会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2025年市会拨付造干项目款（自有资金）（其他收入资金）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18000.00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为推动造血干细胞捐献工作高质量发展，根据中国红十字</w:t>
            </w:r>
            <w:r>
              <w:rPr>
                <w:rFonts w:hint="eastAsia"/>
                <w:lang w:eastAsia="zh-CN"/>
              </w:rPr>
              <w:t>会</w:t>
            </w:r>
            <w:bookmarkStart w:id="3" w:name="_GoBack"/>
            <w:bookmarkEnd w:id="3"/>
            <w:r>
              <w:t>、国家</w:t>
            </w:r>
            <w:r>
              <w:rPr>
                <w:rFonts w:hint="eastAsia"/>
                <w:lang w:eastAsia="zh-CN"/>
              </w:rPr>
              <w:t>卫生健康委员会</w:t>
            </w:r>
            <w:r>
              <w:t>《关于进一步加强造血干细胞捐献者资料库项目资金管理办法》（2024年修订版），用于</w:t>
            </w:r>
            <w:r>
              <w:rPr>
                <w:rFonts w:hint="eastAsia"/>
                <w:lang w:eastAsia="zh-CN"/>
              </w:rPr>
              <w:t>造血干细胞捐献志愿者招募入库</w:t>
            </w:r>
            <w: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1.通过完成造干志愿者招募、造干采集工作，提高造干捐献工作普及水平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完成采集人数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完成造干采集人数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造干采集目标完成率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已完成采集数量占全年目标的比率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造干采集完成后支付费用的时间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造干采集完成后支付费用的时间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招募费用总成本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招募费用总成本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≤18000元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加强公众对造干捐献工作的了解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加强公众对造干捐献工作的了解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造干捐献者满意程度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造干捐献者满意程度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C467651"/>
    <w:rsid w:val="7E536D2A"/>
    <w:rsid w:val="FDFD0A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3</TotalTime>
  <ScaleCrop>false</ScaleCrop>
  <LinksUpToDate>false</LinksUpToDate>
  <Application>WPS Office_11.8.2.9583_F1E327BC-269C-435d-A152-05C5408002CA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2025-01-22T02:58:00Z</dcterms:created>
  <dc:creator>Dell</dc:creator>
  <cp:lastModifiedBy>王玉婷</cp:lastModifiedBy>
  <dcterms:modified xsi:type="dcterms:W3CDTF">2025-02-20T14:25:58Z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582F4248968B4C78AAEEB95F4A85C798_13</vt:lpwstr>
  </property>
</Properties>
</file>